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sidR="00A77B3E">
      <w:pPr>
        <w:keepNext w:val="0"/>
        <w:keepLines w:val="0"/>
        <w:pageBreakBefore w:val="0"/>
        <w:widowControl/>
        <w:numPr>
          <w:ilvl w:val="0"/>
          <w:numId w:val="0"/>
        </w:numPr>
        <w:spacing w:before="0" w:after="0" w:line="288" w:lineRule="auto"/>
        <w:ind w:left="0" w:right="0" w:firstLine="0"/>
        <w:jc w:val="right"/>
        <w:outlineLvl w:val="0"/>
        <w:rPr>
          <w:rFonts w:ascii="Times New Roman" w:eastAsia="Times New Roman" w:hAnsi="Times New Roman" w:cs="Times New Roman"/>
          <w:b/>
          <w:i w:val="0"/>
          <w:sz w:val="18"/>
        </w:rPr>
      </w:pPr>
      <w:bookmarkStart w:id="0" w:name="Section1"/>
      <w:bookmarkEnd w:id="0"/>
      <w:r>
        <w:rPr>
          <w:rFonts w:ascii="Times New Roman" w:eastAsia="Times New Roman" w:hAnsi="Times New Roman" w:cs="Times New Roman"/>
          <w:b/>
          <w:i w:val="0"/>
          <w:sz w:val="18"/>
        </w:rPr>
        <w:t xml:space="preserve"> EXHIBIT 99.1</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color w:val="000000"/>
          <w:sz w:val="18"/>
          <w:u w:val="none"/>
        </w:rPr>
        <w:t>APRIL 27, 2026</w:t>
      </w:r>
      <w:r>
        <w:rPr>
          <w:rFonts w:ascii="Times New Roman" w:eastAsia="Times New Roman" w:hAnsi="Times New Roman" w:cs="Times New Roman"/>
          <w:b/>
          <w:i w:val="0"/>
          <w:sz w:val="18"/>
        </w:rPr>
        <w:t xml:space="preserve"> </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NEWS FOR IMMEDIATE RELEASE</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CONTACT: ERIC J. DOSCH, CFO</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985.375.0308</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 </w:t>
      </w:r>
    </w:p>
    <w:p w:rsidR="00A77B3E">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First Guaranty Bancshares, Inc. Announces </w:t>
      </w:r>
      <w:r>
        <w:rPr>
          <w:rFonts w:ascii="Times New Roman" w:eastAsia="Times New Roman" w:hAnsi="Times New Roman" w:cs="Times New Roman"/>
          <w:b/>
          <w:i w:val="0"/>
          <w:color w:val="000000"/>
          <w:sz w:val="18"/>
          <w:u w:val="none"/>
        </w:rPr>
        <w:t>First</w:t>
      </w:r>
      <w:r>
        <w:rPr>
          <w:rFonts w:ascii="Times New Roman" w:eastAsia="Times New Roman" w:hAnsi="Times New Roman" w:cs="Times New Roman"/>
          <w:b/>
          <w:i w:val="0"/>
          <w:sz w:val="18"/>
        </w:rPr>
        <w:t xml:space="preserve"> Quarter </w:t>
      </w:r>
      <w:r>
        <w:rPr>
          <w:rFonts w:ascii="Times New Roman" w:eastAsia="Times New Roman" w:hAnsi="Times New Roman" w:cs="Times New Roman"/>
          <w:b/>
          <w:i w:val="0"/>
          <w:color w:val="000000"/>
          <w:sz w:val="18"/>
          <w:u w:val="none"/>
        </w:rPr>
        <w:t>2026</w:t>
      </w:r>
      <w:r>
        <w:rPr>
          <w:rFonts w:ascii="Times New Roman" w:eastAsia="Times New Roman" w:hAnsi="Times New Roman" w:cs="Times New Roman"/>
          <w:b/>
          <w:i w:val="0"/>
          <w:sz w:val="18"/>
        </w:rPr>
        <w:t xml:space="preserve"> Financial Results        </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p w:rsidR="00A77B3E">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Hammond, Louisiana</w:t>
      </w:r>
      <w:r>
        <w:rPr>
          <w:rFonts w:ascii="Times New Roman" w:eastAsia="Times New Roman" w:hAnsi="Times New Roman" w:cs="Times New Roman"/>
          <w:b w:val="0"/>
          <w:i w:val="0"/>
          <w:sz w:val="18"/>
        </w:rPr>
        <w:t>,</w:t>
      </w:r>
      <w:r>
        <w:rPr>
          <w:rFonts w:ascii="Times New Roman" w:eastAsia="Times New Roman" w:hAnsi="Times New Roman" w:cs="Times New Roman"/>
          <w:b/>
          <w:i w:val="0"/>
          <w:sz w:val="18"/>
        </w:rPr>
        <w:t xml:space="preserve"> </w:t>
      </w:r>
      <w:r>
        <w:rPr>
          <w:rFonts w:ascii="Times New Roman" w:eastAsia="Times New Roman" w:hAnsi="Times New Roman" w:cs="Times New Roman"/>
          <w:b/>
          <w:i w:val="0"/>
          <w:color w:val="000000"/>
          <w:sz w:val="18"/>
          <w:u w:val="none"/>
        </w:rPr>
        <w:t>April 27, 2026</w:t>
      </w:r>
      <w:r>
        <w:rPr>
          <w:rFonts w:ascii="Times New Roman" w:eastAsia="Times New Roman" w:hAnsi="Times New Roman" w:cs="Times New Roman"/>
          <w:b w:val="0"/>
          <w:i w:val="0"/>
          <w:sz w:val="18"/>
        </w:rPr>
        <w:t xml:space="preserve"> – First Guaranty Bancshares, Inc. ("First Guaranty") (NASDAQ: FGBI), the holding company for First </w:t>
      </w:r>
      <w:r>
        <w:rPr>
          <w:rFonts w:ascii="Times New Roman" w:eastAsia="Times New Roman" w:hAnsi="Times New Roman" w:cs="Times New Roman"/>
          <w:b w:val="0"/>
          <w:i w:val="0"/>
          <w:sz w:val="18"/>
        </w:rPr>
        <w:t xml:space="preserve">Guaranty Bank, announced its unaudited financial results for the </w:t>
      </w:r>
      <w:r>
        <w:rPr>
          <w:rFonts w:ascii="Times New Roman" w:eastAsia="Times New Roman" w:hAnsi="Times New Roman" w:cs="Times New Roman"/>
          <w:b w:val="0"/>
          <w:i w:val="0"/>
          <w:color w:val="000000"/>
          <w:sz w:val="18"/>
          <w:u w:val="none"/>
        </w:rPr>
        <w:t>first</w:t>
      </w:r>
      <w:r>
        <w:rPr>
          <w:rFonts w:ascii="Times New Roman" w:eastAsia="Times New Roman" w:hAnsi="Times New Roman" w:cs="Times New Roman"/>
          <w:b w:val="0"/>
          <w:i w:val="0"/>
          <w:sz w:val="18"/>
        </w:rPr>
        <w:t xml:space="preserve"> quarter and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ending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57" w:lineRule="auto"/>
        <w:ind w:left="0" w:right="0" w:firstLine="0"/>
        <w:jc w:val="both"/>
        <w:outlineLvl w:val="9"/>
        <w:rPr>
          <w:rFonts w:ascii="Times New Roman" w:eastAsia="Times New Roman" w:hAnsi="Times New Roman" w:cs="Times New Roman"/>
          <w:b w:val="0"/>
          <w:i w:val="0"/>
          <w:sz w:val="18"/>
        </w:rPr>
      </w:pPr>
    </w:p>
    <w:p w:rsidR="00A77B3E">
      <w:pPr>
        <w:keepNext w:val="0"/>
        <w:keepLines w:val="0"/>
        <w:pageBreakBefore w:val="0"/>
        <w:widowControl/>
        <w:numPr>
          <w:ilvl w:val="0"/>
          <w:numId w:val="0"/>
        </w:numPr>
        <w:spacing w:before="0" w:after="0" w:line="257"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Financial Highlights for the </w:t>
      </w:r>
      <w:r>
        <w:rPr>
          <w:rFonts w:ascii="Times New Roman" w:eastAsia="Times New Roman" w:hAnsi="Times New Roman" w:cs="Times New Roman"/>
          <w:b w:val="0"/>
          <w:i w:val="0"/>
          <w:color w:val="000000"/>
          <w:sz w:val="18"/>
          <w:u w:val="none"/>
        </w:rPr>
        <w:t>first</w:t>
      </w:r>
      <w:r>
        <w:rPr>
          <w:rFonts w:ascii="Times New Roman" w:eastAsia="Times New Roman" w:hAnsi="Times New Roman" w:cs="Times New Roman"/>
          <w:b w:val="0"/>
          <w:i w:val="0"/>
          <w:sz w:val="18"/>
        </w:rPr>
        <w:t xml:space="preserve"> quarter and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are as follows:</w:t>
      </w:r>
    </w:p>
    <w:p w:rsidR="00A77B3E">
      <w:pPr>
        <w:keepNext w:val="0"/>
        <w:keepLines w:val="0"/>
        <w:pageBreakBefore w:val="0"/>
        <w:widowControl/>
        <w:numPr>
          <w:ilvl w:val="0"/>
          <w:numId w:val="0"/>
        </w:numPr>
        <w:spacing w:before="0" w:after="0" w:line="257" w:lineRule="auto"/>
        <w:ind w:left="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4"/>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Net </w:t>
      </w:r>
      <w:r>
        <w:rPr>
          <w:rFonts w:ascii="Times New Roman" w:eastAsia="Times New Roman" w:hAnsi="Times New Roman" w:cs="Times New Roman"/>
          <w:b w:val="0"/>
          <w:i w:val="0"/>
          <w:sz w:val="18"/>
        </w:rPr>
        <w:t>income</w:t>
      </w:r>
      <w:r>
        <w:rPr>
          <w:rFonts w:ascii="Times New Roman" w:eastAsia="Times New Roman" w:hAnsi="Times New Roman" w:cs="Times New Roman"/>
          <w:b w:val="0"/>
          <w:i w:val="0"/>
          <w:sz w:val="18"/>
        </w:rPr>
        <w:t xml:space="preserve"> (loss)</w:t>
      </w:r>
      <w:r>
        <w:rPr>
          <w:rFonts w:ascii="Times New Roman" w:eastAsia="Times New Roman" w:hAnsi="Times New Roman" w:cs="Times New Roman"/>
          <w:b w:val="0"/>
          <w:i w:val="0"/>
          <w:sz w:val="18"/>
        </w:rPr>
        <w:t xml:space="preserve">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was </w:t>
      </w:r>
      <w:r>
        <w:rPr>
          <w:rFonts w:ascii="Times New Roman" w:eastAsia="Times New Roman" w:hAnsi="Times New Roman" w:cs="Times New Roman"/>
          <w:b w:val="0"/>
          <w:i w:val="0"/>
          <w:color w:val="000000"/>
          <w:sz w:val="18"/>
          <w:u w:val="none"/>
        </w:rPr>
        <w:t>$2.7 million</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$(6.2) million</w:t>
      </w:r>
      <w:r>
        <w:rPr>
          <w:rFonts w:ascii="Times New Roman" w:eastAsia="Times New Roman" w:hAnsi="Times New Roman" w:cs="Times New Roman"/>
          <w:b w:val="0"/>
          <w:i w:val="0"/>
          <w:sz w:val="18"/>
        </w:rPr>
        <w:t>, respectively, a</w:t>
      </w:r>
      <w:r>
        <w:rPr>
          <w:rFonts w:ascii="Times New Roman" w:eastAsia="Times New Roman" w:hAnsi="Times New Roman" w:cs="Times New Roman"/>
          <w:b w:val="0"/>
          <w:i w:val="0"/>
          <w:sz w:val="18"/>
        </w:rPr>
        <w:t>n</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in</w:t>
      </w:r>
      <w:r>
        <w:rPr>
          <w:rFonts w:ascii="Times New Roman" w:eastAsia="Times New Roman" w:hAnsi="Times New Roman" w:cs="Times New Roman"/>
          <w:b w:val="0"/>
          <w:i w:val="0"/>
          <w:sz w:val="18"/>
        </w:rPr>
        <w:t xml:space="preserve">crease of </w:t>
      </w:r>
      <w:r>
        <w:rPr>
          <w:rFonts w:ascii="Times New Roman" w:eastAsia="Times New Roman" w:hAnsi="Times New Roman" w:cs="Times New Roman"/>
          <w:b w:val="0"/>
          <w:i w:val="0"/>
          <w:color w:val="000000"/>
          <w:sz w:val="18"/>
          <w:u w:val="none"/>
        </w:rPr>
        <w:t>$8.9 million</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69"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4"/>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C</w:t>
      </w:r>
      <w:r>
        <w:rPr>
          <w:rFonts w:ascii="Times New Roman" w:eastAsia="Times New Roman" w:hAnsi="Times New Roman" w:cs="Times New Roman"/>
          <w:b w:val="0"/>
          <w:i w:val="0"/>
          <w:color w:val="000000"/>
          <w:sz w:val="18"/>
          <w:u w:val="none"/>
        </w:rPr>
        <w:t xml:space="preserve">EO Michael R. Mineer stated the following: </w:t>
      </w:r>
      <w:r>
        <w:rPr>
          <w:rFonts w:ascii="Times New Roman" w:eastAsia="Times New Roman" w:hAnsi="Times New Roman" w:cs="Times New Roman"/>
          <w:b w:val="0"/>
          <w:i w:val="0"/>
          <w:color w:val="000000"/>
          <w:sz w:val="18"/>
          <w:u w:val="none"/>
        </w:rPr>
        <w:t>"First Guaranty continues to make progress reducing non-performing assets, strengthening earnings and improving our capital ratios.  We reduced nonperforming assets by $12.0 million.  First Guaranty generated positive earnings to our common shareholders of $2.2 million. We improved our bank risk weighted capital ratio 1</w:t>
      </w:r>
      <w:r>
        <w:rPr>
          <w:rFonts w:ascii="Times New Roman" w:eastAsia="Times New Roman" w:hAnsi="Times New Roman" w:cs="Times New Roman"/>
          <w:b w:val="0"/>
          <w:i w:val="0"/>
          <w:color w:val="000000"/>
          <w:sz w:val="18"/>
          <w:u w:val="none"/>
        </w:rPr>
        <w:t>2</w:t>
      </w:r>
      <w:r>
        <w:rPr>
          <w:rFonts w:ascii="Times New Roman" w:eastAsia="Times New Roman" w:hAnsi="Times New Roman" w:cs="Times New Roman"/>
          <w:b w:val="0"/>
          <w:i w:val="0"/>
          <w:color w:val="000000"/>
          <w:sz w:val="18"/>
          <w:u w:val="none"/>
        </w:rPr>
        <w:t>3 bps to 14.</w:t>
      </w:r>
      <w:r>
        <w:rPr>
          <w:rFonts w:ascii="Times New Roman" w:eastAsia="Times New Roman" w:hAnsi="Times New Roman" w:cs="Times New Roman"/>
          <w:b w:val="0"/>
          <w:i w:val="0"/>
          <w:color w:val="000000"/>
          <w:sz w:val="18"/>
          <w:u w:val="none"/>
        </w:rPr>
        <w:t>7</w:t>
      </w:r>
      <w:r>
        <w:rPr>
          <w:rFonts w:ascii="Times New Roman" w:eastAsia="Times New Roman" w:hAnsi="Times New Roman" w:cs="Times New Roman"/>
          <w:b w:val="0"/>
          <w:i w:val="0"/>
          <w:color w:val="000000"/>
          <w:sz w:val="18"/>
          <w:u w:val="none"/>
        </w:rPr>
        <w:t>1% at March 31, 2026 from 13.48% at December 31, 2025. We continue to move forward with our business strategy to reduce balance sheet risk, improve earnings, and grow capital.”</w:t>
      </w:r>
      <w:r>
        <w:rPr>
          <w:rFonts w:ascii="Times New Roman" w:eastAsia="Times New Roman" w:hAnsi="Times New Roman" w:cs="Times New Roman"/>
          <w:b w:val="0"/>
          <w:i w:val="0"/>
          <w:color w:val="000000"/>
          <w:sz w:val="18"/>
          <w:u w:val="none"/>
        </w:rPr>
        <w:t xml:space="preserve"> </w:t>
      </w:r>
    </w:p>
    <w:p w:rsidR="00A77B3E">
      <w:pPr>
        <w:keepNext w:val="0"/>
        <w:keepLines w:val="0"/>
        <w:pageBreakBefore w:val="0"/>
        <w:widowControl/>
        <w:numPr>
          <w:ilvl w:val="0"/>
          <w:numId w:val="0"/>
        </w:numPr>
        <w:spacing w:before="0" w:after="0" w:line="269" w:lineRule="auto"/>
        <w:ind w:left="-360" w:right="0" w:firstLine="0"/>
        <w:jc w:val="left"/>
        <w:outlineLvl w:val="9"/>
        <w:rPr>
          <w:rFonts w:ascii="Times New Roman" w:eastAsia="Times New Roman" w:hAnsi="Times New Roman" w:cs="Times New Roman"/>
          <w:b w:val="0"/>
          <w:i w:val="0"/>
          <w:color w:val="000000"/>
          <w:sz w:val="18"/>
          <w:highlight w:val="yellow"/>
          <w:u w:val="none"/>
        </w:rPr>
      </w:pPr>
    </w:p>
    <w:p>
      <w:pPr>
        <w:keepNext w:val="0"/>
        <w:keepLines w:val="0"/>
        <w:pageBreakBefore w:val="0"/>
        <w:widowControl/>
        <w:numPr>
          <w:ilvl w:val="0"/>
          <w:numId w:val="15"/>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Total assets decreased </w:t>
      </w:r>
      <w:r>
        <w:rPr>
          <w:rFonts w:ascii="Times New Roman" w:eastAsia="Times New Roman" w:hAnsi="Times New Roman" w:cs="Times New Roman"/>
          <w:b w:val="0"/>
          <w:i w:val="0"/>
          <w:color w:val="000000"/>
          <w:sz w:val="18"/>
          <w:u w:val="none"/>
        </w:rPr>
        <w:t>$119.8 million</w:t>
      </w:r>
      <w:r>
        <w:rPr>
          <w:rFonts w:ascii="Times New Roman" w:eastAsia="Times New Roman" w:hAnsi="Times New Roman" w:cs="Times New Roman"/>
          <w:b w:val="0"/>
          <w:i w:val="0"/>
          <w:sz w:val="18"/>
        </w:rPr>
        <w:t xml:space="preserve"> and were </w:t>
      </w:r>
      <w:r>
        <w:rPr>
          <w:rFonts w:ascii="Times New Roman" w:eastAsia="Times New Roman" w:hAnsi="Times New Roman" w:cs="Times New Roman"/>
          <w:b w:val="0"/>
          <w:i w:val="0"/>
          <w:color w:val="000000"/>
          <w:sz w:val="18"/>
          <w:u w:val="none"/>
        </w:rPr>
        <w:t>$4.0 billion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$4.1 billion</w:t>
      </w:r>
      <w:r>
        <w:rPr>
          <w:rFonts w:ascii="Times New Roman" w:eastAsia="Times New Roman" w:hAnsi="Times New Roman" w:cs="Times New Roman"/>
          <w:b w:val="0"/>
          <w:i w:val="0"/>
          <w:sz w:val="18"/>
        </w:rPr>
        <w:t xml:space="preserve"> at</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 xml:space="preserve">Total loans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were </w:t>
      </w:r>
      <w:r>
        <w:rPr>
          <w:rFonts w:ascii="Times New Roman" w:eastAsia="Times New Roman" w:hAnsi="Times New Roman" w:cs="Times New Roman"/>
          <w:b w:val="0"/>
          <w:i w:val="0"/>
          <w:color w:val="000000"/>
          <w:sz w:val="18"/>
          <w:u w:val="none"/>
        </w:rPr>
        <w:t>$1.9 billion</w:t>
      </w:r>
      <w:r>
        <w:rPr>
          <w:rFonts w:ascii="Times New Roman" w:eastAsia="Times New Roman" w:hAnsi="Times New Roman" w:cs="Times New Roman"/>
          <w:b w:val="0"/>
          <w:i w:val="0"/>
          <w:sz w:val="18"/>
        </w:rPr>
        <w:t xml:space="preserve">, a decrease of </w:t>
      </w:r>
      <w:r>
        <w:rPr>
          <w:rFonts w:ascii="Times New Roman" w:eastAsia="Times New Roman" w:hAnsi="Times New Roman" w:cs="Times New Roman"/>
          <w:b w:val="0"/>
          <w:i w:val="0"/>
          <w:color w:val="000000"/>
          <w:sz w:val="18"/>
          <w:u w:val="none"/>
        </w:rPr>
        <w:t>$145.2 million</w:t>
      </w:r>
      <w:r>
        <w:rPr>
          <w:rFonts w:ascii="Times New Roman" w:eastAsia="Times New Roman" w:hAnsi="Times New Roman" w:cs="Times New Roman"/>
          <w:b w:val="0"/>
          <w:i w:val="0"/>
          <w:sz w:val="18"/>
        </w:rPr>
        <w:t xml:space="preserve">, or </w:t>
      </w:r>
      <w:r>
        <w:rPr>
          <w:rFonts w:ascii="Times New Roman" w:eastAsia="Times New Roman" w:hAnsi="Times New Roman" w:cs="Times New Roman"/>
          <w:b w:val="0"/>
          <w:i w:val="0"/>
          <w:color w:val="000000"/>
          <w:sz w:val="18"/>
          <w:u w:val="none"/>
        </w:rPr>
        <w:t>7.0%</w:t>
      </w:r>
      <w:r>
        <w:rPr>
          <w:rFonts w:ascii="Times New Roman" w:eastAsia="Times New Roman" w:hAnsi="Times New Roman" w:cs="Times New Roman"/>
          <w:b w:val="0"/>
          <w:i w:val="0"/>
          <w:sz w:val="18"/>
        </w:rPr>
        <w:t>, compared w</w:t>
      </w:r>
      <w:r>
        <w:rPr>
          <w:rFonts w:ascii="Times New Roman" w:eastAsia="Times New Roman" w:hAnsi="Times New Roman" w:cs="Times New Roman"/>
          <w:b w:val="0"/>
          <w:i w:val="0"/>
          <w:sz w:val="18"/>
        </w:rPr>
        <w:t xml:space="preserve">ith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Total deposits were </w:t>
      </w:r>
      <w:r>
        <w:rPr>
          <w:rFonts w:ascii="Times New Roman" w:eastAsia="Times New Roman" w:hAnsi="Times New Roman" w:cs="Times New Roman"/>
          <w:b w:val="0"/>
          <w:i w:val="0"/>
          <w:color w:val="000000"/>
          <w:sz w:val="18"/>
          <w:u w:val="none"/>
        </w:rPr>
        <w:t>$3.5 billion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 decrease of </w:t>
      </w:r>
      <w:r>
        <w:rPr>
          <w:rFonts w:ascii="Times New Roman" w:eastAsia="Times New Roman" w:hAnsi="Times New Roman" w:cs="Times New Roman"/>
          <w:b w:val="0"/>
          <w:i w:val="0"/>
          <w:color w:val="000000"/>
          <w:sz w:val="18"/>
          <w:u w:val="none"/>
        </w:rPr>
        <w:t>$125.3 million</w:t>
      </w:r>
      <w:r>
        <w:rPr>
          <w:rFonts w:ascii="Times New Roman" w:eastAsia="Times New Roman" w:hAnsi="Times New Roman" w:cs="Times New Roman"/>
          <w:b w:val="0"/>
          <w:i w:val="0"/>
          <w:sz w:val="18"/>
        </w:rPr>
        <w:t xml:space="preserve">, or </w:t>
      </w:r>
      <w:r>
        <w:rPr>
          <w:rFonts w:ascii="Times New Roman" w:eastAsia="Times New Roman" w:hAnsi="Times New Roman" w:cs="Times New Roman"/>
          <w:b w:val="0"/>
          <w:i w:val="0"/>
          <w:color w:val="000000"/>
          <w:sz w:val="18"/>
          <w:u w:val="none"/>
        </w:rPr>
        <w:t>3.4%</w:t>
      </w:r>
      <w:r>
        <w:rPr>
          <w:rFonts w:ascii="Times New Roman" w:eastAsia="Times New Roman" w:hAnsi="Times New Roman" w:cs="Times New Roman"/>
          <w:b w:val="0"/>
          <w:i w:val="0"/>
          <w:sz w:val="18"/>
        </w:rPr>
        <w:t xml:space="preserve">, compared with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 xml:space="preserve">Retained earnings were </w:t>
      </w:r>
      <w:r>
        <w:rPr>
          <w:rFonts w:ascii="Times New Roman" w:eastAsia="Times New Roman" w:hAnsi="Times New Roman" w:cs="Times New Roman"/>
          <w:b w:val="0"/>
          <w:i w:val="0"/>
          <w:color w:val="000000"/>
          <w:sz w:val="18"/>
          <w:u w:val="none"/>
        </w:rPr>
        <w:t>$16.1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a</w:t>
      </w:r>
      <w:r>
        <w:rPr>
          <w:rFonts w:ascii="Times New Roman" w:eastAsia="Times New Roman" w:hAnsi="Times New Roman" w:cs="Times New Roman"/>
          <w:b w:val="0"/>
          <w:i w:val="0"/>
          <w:sz w:val="18"/>
        </w:rPr>
        <w:t>n</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in</w:t>
      </w:r>
      <w:r>
        <w:rPr>
          <w:rFonts w:ascii="Times New Roman" w:eastAsia="Times New Roman" w:hAnsi="Times New Roman" w:cs="Times New Roman"/>
          <w:b w:val="0"/>
          <w:i w:val="0"/>
          <w:sz w:val="18"/>
        </w:rPr>
        <w:t xml:space="preserve">crease of </w:t>
      </w:r>
      <w:r>
        <w:rPr>
          <w:rFonts w:ascii="Times New Roman" w:eastAsia="Times New Roman" w:hAnsi="Times New Roman" w:cs="Times New Roman"/>
          <w:b w:val="0"/>
          <w:i w:val="0"/>
          <w:color w:val="000000"/>
          <w:sz w:val="18"/>
          <w:u w:val="none"/>
        </w:rPr>
        <w:t>$2.0 million</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$14.1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Shareholders' equity was </w:t>
      </w:r>
      <w:r>
        <w:rPr>
          <w:rFonts w:ascii="Times New Roman" w:eastAsia="Times New Roman" w:hAnsi="Times New Roman" w:cs="Times New Roman"/>
          <w:b w:val="0"/>
          <w:i w:val="0"/>
          <w:color w:val="000000"/>
          <w:sz w:val="18"/>
          <w:u w:val="none"/>
        </w:rPr>
        <w:t>$224.0 million</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$226.2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respectively.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4"/>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E</w:t>
      </w:r>
      <w:r>
        <w:rPr>
          <w:rFonts w:ascii="Times New Roman" w:eastAsia="Times New Roman" w:hAnsi="Times New Roman" w:cs="Times New Roman"/>
          <w:b w:val="0"/>
          <w:i w:val="0"/>
          <w:sz w:val="18"/>
        </w:rPr>
        <w:t xml:space="preserve">arnings </w:t>
      </w:r>
      <w:r>
        <w:rPr>
          <w:rFonts w:ascii="Times New Roman" w:eastAsia="Times New Roman" w:hAnsi="Times New Roman" w:cs="Times New Roman"/>
          <w:b w:val="0"/>
          <w:i w:val="0"/>
          <w:sz w:val="18"/>
        </w:rPr>
        <w:t xml:space="preserve">(loss) </w:t>
      </w:r>
      <w:r>
        <w:rPr>
          <w:rFonts w:ascii="Times New Roman" w:eastAsia="Times New Roman" w:hAnsi="Times New Roman" w:cs="Times New Roman"/>
          <w:b w:val="0"/>
          <w:i w:val="0"/>
          <w:sz w:val="18"/>
        </w:rPr>
        <w:t xml:space="preserve">per common share were </w:t>
      </w:r>
      <w:r>
        <w:rPr>
          <w:rFonts w:ascii="Times New Roman" w:eastAsia="Times New Roman" w:hAnsi="Times New Roman" w:cs="Times New Roman"/>
          <w:b w:val="0"/>
          <w:i w:val="0"/>
          <w:color w:val="000000"/>
          <w:sz w:val="18"/>
          <w:u w:val="none"/>
        </w:rPr>
        <w:t>$0.14</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$(0.54)</w:t>
      </w:r>
      <w:r>
        <w:rPr>
          <w:rFonts w:ascii="Times New Roman" w:eastAsia="Times New Roman" w:hAnsi="Times New Roman" w:cs="Times New Roman"/>
          <w:b w:val="0"/>
          <w:i w:val="0"/>
          <w:sz w:val="18"/>
        </w:rPr>
        <w:t xml:space="preserve">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respectively. Total weighted average shares outstanding were </w:t>
      </w:r>
      <w:r>
        <w:rPr>
          <w:rFonts w:ascii="Times New Roman" w:eastAsia="Times New Roman" w:hAnsi="Times New Roman" w:cs="Times New Roman"/>
          <w:b w:val="0"/>
          <w:i w:val="0"/>
          <w:color w:val="000000"/>
          <w:sz w:val="18"/>
          <w:u w:val="none"/>
        </w:rPr>
        <w:t>15,796,040</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12,506,792</w:t>
      </w:r>
      <w:r>
        <w:rPr>
          <w:rFonts w:ascii="Times New Roman" w:eastAsia="Times New Roman" w:hAnsi="Times New Roman" w:cs="Times New Roman"/>
          <w:b w:val="0"/>
          <w:i w:val="0"/>
          <w:sz w:val="18"/>
        </w:rPr>
        <w:t xml:space="preserve">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respectively.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6"/>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The allowance for credit losses was </w:t>
      </w:r>
      <w:r>
        <w:rPr>
          <w:rFonts w:ascii="Times New Roman" w:eastAsia="Times New Roman" w:hAnsi="Times New Roman" w:cs="Times New Roman"/>
          <w:b w:val="0"/>
          <w:i w:val="0"/>
          <w:color w:val="000000"/>
          <w:sz w:val="18"/>
          <w:u w:val="none"/>
        </w:rPr>
        <w:t>2.00%</w:t>
      </w:r>
      <w:r>
        <w:rPr>
          <w:rFonts w:ascii="Times New Roman" w:eastAsia="Times New Roman" w:hAnsi="Times New Roman" w:cs="Times New Roman"/>
          <w:b w:val="0"/>
          <w:i w:val="0"/>
          <w:sz w:val="18"/>
        </w:rPr>
        <w:t xml:space="preserve"> of total loans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1.97%</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7"/>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Net interest income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was </w:t>
      </w:r>
      <w:r>
        <w:rPr>
          <w:rFonts w:ascii="Times New Roman" w:eastAsia="Times New Roman" w:hAnsi="Times New Roman" w:cs="Times New Roman"/>
          <w:b w:val="0"/>
          <w:i w:val="0"/>
          <w:color w:val="000000"/>
          <w:sz w:val="18"/>
          <w:u w:val="none"/>
        </w:rPr>
        <w:t>$20.7 million</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$22.2 million</w:t>
      </w:r>
      <w:r>
        <w:rPr>
          <w:rFonts w:ascii="Times New Roman" w:eastAsia="Times New Roman" w:hAnsi="Times New Roman" w:cs="Times New Roman"/>
          <w:b w:val="0"/>
          <w:i w:val="0"/>
          <w:sz w:val="18"/>
        </w:rPr>
        <w:t xml:space="preserve">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2025</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8"/>
        </w:numPr>
        <w:spacing w:before="0" w:after="0" w:line="288" w:lineRule="auto"/>
        <w:ind w:left="360" w:right="0" w:hanging="360"/>
        <w:jc w:val="both"/>
        <w:outlineLvl w:val="9"/>
        <w:rPr>
          <w:rFonts w:ascii="Arial" w:eastAsia="Arial" w:hAnsi="Arial" w:cs="Arial"/>
          <w:b w:val="0"/>
          <w:i w:val="0"/>
          <w:sz w:val="18"/>
        </w:rPr>
      </w:pPr>
      <w:r>
        <w:rPr>
          <w:rFonts w:ascii="Times New Roman" w:eastAsia="Times New Roman" w:hAnsi="Times New Roman" w:cs="Times New Roman"/>
          <w:b w:val="0"/>
          <w:i w:val="0"/>
          <w:sz w:val="18"/>
        </w:rPr>
        <w:t>T</w:t>
      </w:r>
      <w:r>
        <w:rPr>
          <w:rFonts w:ascii="Times New Roman" w:eastAsia="Times New Roman" w:hAnsi="Times New Roman" w:cs="Times New Roman"/>
          <w:b w:val="0"/>
          <w:i w:val="0"/>
          <w:sz w:val="18"/>
        </w:rPr>
        <w:t xml:space="preserve">he provision for credit losses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was </w:t>
      </w:r>
      <w:r>
        <w:rPr>
          <w:rFonts w:ascii="Times New Roman" w:eastAsia="Times New Roman" w:hAnsi="Times New Roman" w:cs="Times New Roman"/>
          <w:b w:val="0"/>
          <w:i w:val="0"/>
          <w:color w:val="000000"/>
          <w:sz w:val="18"/>
          <w:u w:val="none"/>
        </w:rPr>
        <w:t>$2.6 million</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$14.5 million</w:t>
      </w:r>
      <w:r>
        <w:rPr>
          <w:rFonts w:ascii="Times New Roman" w:eastAsia="Times New Roman" w:hAnsi="Times New Roman" w:cs="Times New Roman"/>
          <w:b w:val="0"/>
          <w:i w:val="0"/>
          <w:sz w:val="18"/>
        </w:rPr>
        <w:t xml:space="preserve">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2025</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9"/>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Charge-offs were $</w:t>
      </w:r>
      <w:r>
        <w:rPr>
          <w:rFonts w:ascii="Times New Roman" w:eastAsia="Times New Roman" w:hAnsi="Times New Roman" w:cs="Times New Roman"/>
          <w:b w:val="0"/>
          <w:i w:val="0"/>
          <w:sz w:val="18"/>
        </w:rPr>
        <w:t>5.4</w:t>
      </w:r>
      <w:r>
        <w:rPr>
          <w:rFonts w:ascii="Times New Roman" w:eastAsia="Times New Roman" w:hAnsi="Times New Roman" w:cs="Times New Roman"/>
          <w:b w:val="0"/>
          <w:i w:val="0"/>
          <w:sz w:val="18"/>
        </w:rPr>
        <w:t xml:space="preserve"> million during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sz w:val="18"/>
        </w:rPr>
        <w:t xml:space="preserve">6.9 </w:t>
      </w:r>
      <w:r>
        <w:rPr>
          <w:rFonts w:ascii="Times New Roman" w:eastAsia="Times New Roman" w:hAnsi="Times New Roman" w:cs="Times New Roman"/>
          <w:b w:val="0"/>
          <w:i w:val="0"/>
          <w:sz w:val="18"/>
        </w:rPr>
        <w:t xml:space="preserve">million during the same period in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Recoveries totaled $0.</w:t>
      </w:r>
      <w:r>
        <w:rPr>
          <w:rFonts w:ascii="Times New Roman" w:eastAsia="Times New Roman" w:hAnsi="Times New Roman" w:cs="Times New Roman"/>
          <w:b w:val="0"/>
          <w:i w:val="0"/>
          <w:sz w:val="18"/>
        </w:rPr>
        <w:t>5</w:t>
      </w:r>
      <w:r>
        <w:rPr>
          <w:rFonts w:ascii="Times New Roman" w:eastAsia="Times New Roman" w:hAnsi="Times New Roman" w:cs="Times New Roman"/>
          <w:b w:val="0"/>
          <w:i w:val="0"/>
          <w:sz w:val="18"/>
        </w:rPr>
        <w:t xml:space="preserve"> million during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$0.</w:t>
      </w:r>
      <w:r>
        <w:rPr>
          <w:rFonts w:ascii="Times New Roman" w:eastAsia="Times New Roman" w:hAnsi="Times New Roman" w:cs="Times New Roman"/>
          <w:b w:val="0"/>
          <w:i w:val="0"/>
          <w:sz w:val="18"/>
        </w:rPr>
        <w:t>2</w:t>
      </w:r>
      <w:r>
        <w:rPr>
          <w:rFonts w:ascii="Times New Roman" w:eastAsia="Times New Roman" w:hAnsi="Times New Roman" w:cs="Times New Roman"/>
          <w:b w:val="0"/>
          <w:i w:val="0"/>
          <w:sz w:val="18"/>
        </w:rPr>
        <w:t xml:space="preserve"> million during the same period in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20"/>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First Guaranty had </w:t>
      </w:r>
      <w:r>
        <w:rPr>
          <w:rFonts w:ascii="Times New Roman" w:eastAsia="Times New Roman" w:hAnsi="Times New Roman" w:cs="Times New Roman"/>
          <w:b w:val="0"/>
          <w:i w:val="0"/>
          <w:color w:val="000000"/>
          <w:sz w:val="18"/>
          <w:u w:val="none"/>
        </w:rPr>
        <w:t>$28.9 million</w:t>
      </w:r>
      <w:r>
        <w:rPr>
          <w:rFonts w:ascii="Times New Roman" w:eastAsia="Times New Roman" w:hAnsi="Times New Roman" w:cs="Times New Roman"/>
          <w:b w:val="0"/>
          <w:i w:val="0"/>
          <w:sz w:val="18"/>
        </w:rPr>
        <w:t xml:space="preserve"> of other real estate owned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$35.1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76" w:lineRule="auto"/>
        <w:ind w:left="-360" w:right="0" w:hanging="36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14"/>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The net interest margin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was </w:t>
      </w:r>
      <w:r>
        <w:rPr>
          <w:rFonts w:ascii="Times New Roman" w:eastAsia="Times New Roman" w:hAnsi="Times New Roman" w:cs="Times New Roman"/>
          <w:b w:val="0"/>
          <w:i w:val="0"/>
          <w:color w:val="000000"/>
          <w:sz w:val="18"/>
          <w:u w:val="none"/>
        </w:rPr>
        <w:t>2.07%</w:t>
      </w:r>
      <w:r>
        <w:rPr>
          <w:rFonts w:ascii="Times New Roman" w:eastAsia="Times New Roman" w:hAnsi="Times New Roman" w:cs="Times New Roman"/>
          <w:b w:val="0"/>
          <w:i w:val="0"/>
          <w:sz w:val="18"/>
        </w:rPr>
        <w:t xml:space="preserve"> which was a decrease of </w:t>
      </w:r>
      <w:r>
        <w:rPr>
          <w:rFonts w:ascii="Times New Roman" w:eastAsia="Times New Roman" w:hAnsi="Times New Roman" w:cs="Times New Roman"/>
          <w:b w:val="0"/>
          <w:i w:val="0"/>
          <w:color w:val="000000"/>
          <w:sz w:val="18"/>
          <w:u w:val="none"/>
        </w:rPr>
        <w:t>28</w:t>
      </w:r>
      <w:r>
        <w:rPr>
          <w:rFonts w:ascii="Times New Roman" w:eastAsia="Times New Roman" w:hAnsi="Times New Roman" w:cs="Times New Roman"/>
          <w:b w:val="0"/>
          <w:i w:val="0"/>
          <w:sz w:val="18"/>
        </w:rPr>
        <w:t xml:space="preserve"> basis points from the net interest margin of </w:t>
      </w:r>
      <w:r>
        <w:rPr>
          <w:rFonts w:ascii="Times New Roman" w:eastAsia="Times New Roman" w:hAnsi="Times New Roman" w:cs="Times New Roman"/>
          <w:b w:val="0"/>
          <w:i w:val="0"/>
          <w:color w:val="000000"/>
          <w:sz w:val="18"/>
          <w:u w:val="none"/>
        </w:rPr>
        <w:t>2.35%</w:t>
      </w:r>
      <w:r>
        <w:rPr>
          <w:rFonts w:ascii="Times New Roman" w:eastAsia="Times New Roman" w:hAnsi="Times New Roman" w:cs="Times New Roman"/>
          <w:b w:val="0"/>
          <w:i w:val="0"/>
          <w:sz w:val="18"/>
        </w:rPr>
        <w:t xml:space="preserve"> for the same period in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Loans as a percentage of average interest earning assets decrease</w:t>
      </w:r>
      <w:r>
        <w:rPr>
          <w:rFonts w:ascii="Times New Roman" w:eastAsia="Times New Roman" w:hAnsi="Times New Roman" w:cs="Times New Roman"/>
          <w:b w:val="0"/>
          <w:i w:val="0"/>
          <w:sz w:val="18"/>
        </w:rPr>
        <w:t xml:space="preserve">d to </w:t>
      </w:r>
      <w:r>
        <w:rPr>
          <w:rFonts w:ascii="Times New Roman" w:eastAsia="Times New Roman" w:hAnsi="Times New Roman" w:cs="Times New Roman"/>
          <w:b w:val="0"/>
          <w:i w:val="0"/>
          <w:color w:val="000000"/>
          <w:sz w:val="18"/>
          <w:u w:val="none"/>
        </w:rPr>
        <w:t>49.5%</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68.5%</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2025</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21"/>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Investment securities totaled </w:t>
      </w:r>
      <w:r>
        <w:rPr>
          <w:rFonts w:ascii="Times New Roman" w:eastAsia="Times New Roman" w:hAnsi="Times New Roman" w:cs="Times New Roman"/>
          <w:b w:val="0"/>
          <w:i w:val="0"/>
          <w:color w:val="000000"/>
          <w:sz w:val="18"/>
          <w:u w:val="none"/>
        </w:rPr>
        <w:t>$1.2 billion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 increase of </w:t>
      </w:r>
      <w:r>
        <w:rPr>
          <w:rFonts w:ascii="Times New Roman" w:eastAsia="Times New Roman" w:hAnsi="Times New Roman" w:cs="Times New Roman"/>
          <w:b w:val="0"/>
          <w:i w:val="0"/>
          <w:color w:val="000000"/>
          <w:sz w:val="18"/>
          <w:u w:val="none"/>
        </w:rPr>
        <w:t>$177.6 million</w:t>
      </w:r>
      <w:r>
        <w:rPr>
          <w:rFonts w:ascii="Times New Roman" w:eastAsia="Times New Roman" w:hAnsi="Times New Roman" w:cs="Times New Roman"/>
          <w:b w:val="0"/>
          <w:i w:val="0"/>
          <w:sz w:val="18"/>
        </w:rPr>
        <w:t xml:space="preserve"> when compared to </w:t>
      </w:r>
      <w:r>
        <w:rPr>
          <w:rFonts w:ascii="Times New Roman" w:eastAsia="Times New Roman" w:hAnsi="Times New Roman" w:cs="Times New Roman"/>
          <w:b w:val="0"/>
          <w:i w:val="0"/>
          <w:color w:val="000000"/>
          <w:sz w:val="18"/>
          <w:u w:val="none"/>
        </w:rPr>
        <w:t>$999.3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available for sale securities, at fair value, totaled </w:t>
      </w:r>
      <w:r>
        <w:rPr>
          <w:rFonts w:ascii="Times New Roman" w:eastAsia="Times New Roman" w:hAnsi="Times New Roman" w:cs="Times New Roman"/>
          <w:b w:val="0"/>
          <w:i w:val="0"/>
          <w:color w:val="000000"/>
          <w:sz w:val="18"/>
          <w:u w:val="none"/>
        </w:rPr>
        <w:t>$853.9 million</w:t>
      </w:r>
      <w:r>
        <w:rPr>
          <w:rFonts w:ascii="Times New Roman" w:eastAsia="Times New Roman" w:hAnsi="Times New Roman" w:cs="Times New Roman"/>
          <w:b w:val="0"/>
          <w:i w:val="0"/>
          <w:sz w:val="18"/>
        </w:rPr>
        <w:t xml:space="preserve">, an increase of </w:t>
      </w:r>
      <w:r>
        <w:rPr>
          <w:rFonts w:ascii="Times New Roman" w:eastAsia="Times New Roman" w:hAnsi="Times New Roman" w:cs="Times New Roman"/>
          <w:b w:val="0"/>
          <w:i w:val="0"/>
          <w:color w:val="000000"/>
          <w:sz w:val="18"/>
          <w:u w:val="none"/>
        </w:rPr>
        <w:t>$177.3 million</w:t>
      </w:r>
      <w:r>
        <w:rPr>
          <w:rFonts w:ascii="Times New Roman" w:eastAsia="Times New Roman" w:hAnsi="Times New Roman" w:cs="Times New Roman"/>
          <w:b w:val="0"/>
          <w:i w:val="0"/>
          <w:sz w:val="18"/>
        </w:rPr>
        <w:t xml:space="preserve"> when compared to </w:t>
      </w:r>
      <w:r>
        <w:rPr>
          <w:rFonts w:ascii="Times New Roman" w:eastAsia="Times New Roman" w:hAnsi="Times New Roman" w:cs="Times New Roman"/>
          <w:b w:val="0"/>
          <w:i w:val="0"/>
          <w:color w:val="000000"/>
          <w:sz w:val="18"/>
          <w:u w:val="none"/>
        </w:rPr>
        <w:t>$676.6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held to maturity securities, at amortized cost and net of the allowance for credit losses totaled </w:t>
      </w:r>
      <w:r>
        <w:rPr>
          <w:rFonts w:ascii="Times New Roman" w:eastAsia="Times New Roman" w:hAnsi="Times New Roman" w:cs="Times New Roman"/>
          <w:b w:val="0"/>
          <w:i w:val="0"/>
          <w:color w:val="000000"/>
          <w:sz w:val="18"/>
          <w:u w:val="none"/>
        </w:rPr>
        <w:t>$322.9 million</w:t>
      </w:r>
      <w:r>
        <w:rPr>
          <w:rFonts w:ascii="Times New Roman" w:eastAsia="Times New Roman" w:hAnsi="Times New Roman" w:cs="Times New Roman"/>
          <w:b w:val="0"/>
          <w:i w:val="0"/>
          <w:sz w:val="18"/>
        </w:rPr>
        <w:t xml:space="preserve">, an increase of </w:t>
      </w:r>
      <w:r>
        <w:rPr>
          <w:rFonts w:ascii="Times New Roman" w:eastAsia="Times New Roman" w:hAnsi="Times New Roman" w:cs="Times New Roman"/>
          <w:b w:val="0"/>
          <w:i w:val="0"/>
          <w:color w:val="000000"/>
          <w:sz w:val="18"/>
          <w:u w:val="none"/>
        </w:rPr>
        <w:t>$0.3 million</w:t>
      </w:r>
      <w:r>
        <w:rPr>
          <w:rFonts w:ascii="Times New Roman" w:eastAsia="Times New Roman" w:hAnsi="Times New Roman" w:cs="Times New Roman"/>
          <w:b w:val="0"/>
          <w:i w:val="0"/>
          <w:sz w:val="18"/>
        </w:rPr>
        <w:t xml:space="preserve"> when compared to </w:t>
      </w:r>
      <w:r>
        <w:rPr>
          <w:rFonts w:ascii="Times New Roman" w:eastAsia="Times New Roman" w:hAnsi="Times New Roman" w:cs="Times New Roman"/>
          <w:b w:val="0"/>
          <w:i w:val="0"/>
          <w:color w:val="000000"/>
          <w:sz w:val="18"/>
          <w:u w:val="none"/>
        </w:rPr>
        <w:t>$322.7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The allowance for credit losses for HTM securities was $0.2 million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p>
      <w:pPr>
        <w:keepNext w:val="0"/>
        <w:keepLines w:val="0"/>
        <w:pageBreakBefore w:val="0"/>
        <w:widowControl/>
        <w:numPr>
          <w:ilvl w:val="0"/>
          <w:numId w:val="22"/>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Total loans net of unearned income were </w:t>
      </w:r>
      <w:r>
        <w:rPr>
          <w:rFonts w:ascii="Times New Roman" w:eastAsia="Times New Roman" w:hAnsi="Times New Roman" w:cs="Times New Roman"/>
          <w:b w:val="0"/>
          <w:i w:val="0"/>
          <w:color w:val="000000"/>
          <w:sz w:val="18"/>
          <w:u w:val="none"/>
        </w:rPr>
        <w:t>$1.9 billion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 net decrease of </w:t>
      </w:r>
      <w:r>
        <w:rPr>
          <w:rFonts w:ascii="Times New Roman" w:eastAsia="Times New Roman" w:hAnsi="Times New Roman" w:cs="Times New Roman"/>
          <w:b w:val="0"/>
          <w:i w:val="0"/>
          <w:color w:val="000000"/>
          <w:sz w:val="18"/>
          <w:u w:val="none"/>
        </w:rPr>
        <w:t>$145.2 million</w:t>
      </w:r>
      <w:r>
        <w:rPr>
          <w:rFonts w:ascii="Times New Roman" w:eastAsia="Times New Roman" w:hAnsi="Times New Roman" w:cs="Times New Roman"/>
          <w:b w:val="0"/>
          <w:i w:val="0"/>
          <w:sz w:val="18"/>
        </w:rPr>
        <w:t xml:space="preserve"> from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Total loans net of unearned income are reduced by the allowance for credit losses which totaled </w:t>
      </w:r>
      <w:r>
        <w:rPr>
          <w:rFonts w:ascii="Times New Roman" w:eastAsia="Times New Roman" w:hAnsi="Times New Roman" w:cs="Times New Roman"/>
          <w:b w:val="0"/>
          <w:i w:val="0"/>
          <w:color w:val="000000"/>
          <w:sz w:val="18"/>
          <w:u w:val="none"/>
        </w:rPr>
        <w:t>$38.5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$40.8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respectively.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23"/>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Nonaccrual loans </w:t>
      </w:r>
      <w:r>
        <w:rPr>
          <w:rFonts w:ascii="Times New Roman" w:eastAsia="Times New Roman" w:hAnsi="Times New Roman" w:cs="Times New Roman"/>
          <w:b w:val="0"/>
          <w:i w:val="0"/>
          <w:sz w:val="18"/>
        </w:rPr>
        <w:t>decreased</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color w:val="000000"/>
          <w:sz w:val="18"/>
          <w:u w:val="none"/>
        </w:rPr>
        <w:t>$5.2 million</w:t>
      </w:r>
      <w:r>
        <w:rPr>
          <w:rFonts w:ascii="Times New Roman" w:eastAsia="Times New Roman" w:hAnsi="Times New Roman" w:cs="Times New Roman"/>
          <w:b w:val="0"/>
          <w:i w:val="0"/>
          <w:sz w:val="18"/>
        </w:rPr>
        <w:t xml:space="preserve"> to </w:t>
      </w:r>
      <w:r>
        <w:rPr>
          <w:rFonts w:ascii="Times New Roman" w:eastAsia="Times New Roman" w:hAnsi="Times New Roman" w:cs="Times New Roman"/>
          <w:b w:val="0"/>
          <w:i w:val="0"/>
          <w:color w:val="000000"/>
          <w:sz w:val="18"/>
          <w:u w:val="none"/>
        </w:rPr>
        <w:t>$54.4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color w:val="000000"/>
          <w:sz w:val="18"/>
          <w:u w:val="none"/>
        </w:rPr>
        <w:t>$59.6 million</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color w:val="000000"/>
          <w:sz w:val="18"/>
          <w:u w:val="none"/>
        </w:rPr>
        <w:t>December 31, 2025</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24"/>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the largest 10 non-performing loan relationships comprise 7</w:t>
      </w:r>
      <w:r>
        <w:rPr>
          <w:rFonts w:ascii="Times New Roman" w:eastAsia="Times New Roman" w:hAnsi="Times New Roman" w:cs="Times New Roman"/>
          <w:b w:val="0"/>
          <w:i w:val="0"/>
          <w:sz w:val="18"/>
        </w:rPr>
        <w:t>7</w:t>
      </w:r>
      <w:r>
        <w:rPr>
          <w:rFonts w:ascii="Times New Roman" w:eastAsia="Times New Roman" w:hAnsi="Times New Roman" w:cs="Times New Roman"/>
          <w:b w:val="0"/>
          <w:i w:val="0"/>
          <w:sz w:val="18"/>
        </w:rPr>
        <w:t>% of total non-performing assets. Additional details on the non-performing relationships are as follows:</w:t>
      </w:r>
    </w:p>
    <w:p>
      <w:pPr>
        <w:keepNext w:val="0"/>
        <w:keepLines w:val="0"/>
        <w:pageBreakBefore w:val="0"/>
        <w:widowControl/>
        <w:numPr>
          <w:ilvl w:val="0"/>
          <w:numId w:val="25"/>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$23.3 million loan relationship secured by an independent living center located in Louisiana; the loan was transferred to other real estate owned in the fourth quarter of 2025.</w:t>
      </w:r>
    </w:p>
    <w:p>
      <w:pPr>
        <w:keepNext w:val="0"/>
        <w:keepLines w:val="0"/>
        <w:pageBreakBefore w:val="0"/>
        <w:widowControl/>
        <w:numPr>
          <w:ilvl w:val="0"/>
          <w:numId w:val="25"/>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A </w:t>
      </w:r>
      <w:r>
        <w:rPr>
          <w:rFonts w:ascii="Times New Roman" w:eastAsia="Times New Roman" w:hAnsi="Times New Roman" w:cs="Times New Roman"/>
          <w:b w:val="0"/>
          <w:i w:val="0"/>
          <w:sz w:val="18"/>
        </w:rPr>
        <w:t>$14.</w:t>
      </w:r>
      <w:r>
        <w:rPr>
          <w:rFonts w:ascii="Times New Roman" w:eastAsia="Times New Roman" w:hAnsi="Times New Roman" w:cs="Times New Roman"/>
          <w:b w:val="0"/>
          <w:i w:val="0"/>
          <w:sz w:val="18"/>
        </w:rPr>
        <w:t>5</w:t>
      </w:r>
      <w:r>
        <w:rPr>
          <w:rFonts w:ascii="Times New Roman" w:eastAsia="Times New Roman" w:hAnsi="Times New Roman" w:cs="Times New Roman"/>
          <w:b w:val="0"/>
          <w:i w:val="0"/>
          <w:sz w:val="18"/>
        </w:rPr>
        <w:t xml:space="preserve"> million loan relationship secured by an assisted living center located in Louisiana; the loan was placed on nonaccrual in the second quarter of 2025. Payments received on the loan in the </w:t>
      </w:r>
      <w:r>
        <w:rPr>
          <w:rFonts w:ascii="Times New Roman" w:eastAsia="Times New Roman" w:hAnsi="Times New Roman" w:cs="Times New Roman"/>
          <w:b w:val="0"/>
          <w:i w:val="0"/>
          <w:sz w:val="18"/>
        </w:rPr>
        <w:t>first</w:t>
      </w:r>
      <w:r>
        <w:rPr>
          <w:rFonts w:ascii="Times New Roman" w:eastAsia="Times New Roman" w:hAnsi="Times New Roman" w:cs="Times New Roman"/>
          <w:b w:val="0"/>
          <w:i w:val="0"/>
          <w:sz w:val="18"/>
        </w:rPr>
        <w:t xml:space="preserve"> quarter of 202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 xml:space="preserve"> reduced the balance by $0.</w:t>
      </w:r>
      <w:r>
        <w:rPr>
          <w:rFonts w:ascii="Times New Roman" w:eastAsia="Times New Roman" w:hAnsi="Times New Roman" w:cs="Times New Roman"/>
          <w:b w:val="0"/>
          <w:i w:val="0"/>
          <w:sz w:val="18"/>
        </w:rPr>
        <w:t>4</w:t>
      </w:r>
      <w:r>
        <w:rPr>
          <w:rFonts w:ascii="Times New Roman" w:eastAsia="Times New Roman" w:hAnsi="Times New Roman" w:cs="Times New Roman"/>
          <w:b w:val="0"/>
          <w:i w:val="0"/>
          <w:sz w:val="18"/>
        </w:rPr>
        <w:t xml:space="preserve"> million.</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w:t>
      </w:r>
      <w:r>
        <w:rPr>
          <w:rFonts w:ascii="Times New Roman" w:eastAsia="Times New Roman" w:hAnsi="Times New Roman" w:cs="Times New Roman"/>
          <w:b w:val="0"/>
          <w:i w:val="0"/>
          <w:sz w:val="18"/>
        </w:rPr>
        <w:t>9.1</w:t>
      </w:r>
      <w:r>
        <w:rPr>
          <w:rFonts w:ascii="Times New Roman" w:eastAsia="Times New Roman" w:hAnsi="Times New Roman" w:cs="Times New Roman"/>
          <w:b w:val="0"/>
          <w:i w:val="0"/>
          <w:sz w:val="18"/>
        </w:rPr>
        <w:t xml:space="preserve"> million loan relationship secured by an assisted living center located in Texas; the loan was placed on nonaccrual in the third quarter of 2025.</w:t>
      </w:r>
      <w:r>
        <w:rPr>
          <w:rFonts w:ascii="Times New Roman" w:eastAsia="Times New Roman" w:hAnsi="Times New Roman" w:cs="Times New Roman"/>
          <w:b w:val="0"/>
          <w:i w:val="0"/>
          <w:sz w:val="18"/>
        </w:rPr>
        <w:t xml:space="preserve"> Thi</w:t>
      </w:r>
      <w:r>
        <w:rPr>
          <w:rFonts w:ascii="Times New Roman" w:eastAsia="Times New Roman" w:hAnsi="Times New Roman" w:cs="Times New Roman"/>
          <w:b w:val="0"/>
          <w:i w:val="0"/>
          <w:sz w:val="18"/>
        </w:rPr>
        <w:t>s loan relations</w:t>
      </w:r>
      <w:r>
        <w:rPr>
          <w:rFonts w:ascii="Times New Roman" w:eastAsia="Times New Roman" w:hAnsi="Times New Roman" w:cs="Times New Roman"/>
          <w:b w:val="0"/>
          <w:i w:val="0"/>
          <w:sz w:val="18"/>
        </w:rPr>
        <w:t>h</w:t>
      </w:r>
      <w:r>
        <w:rPr>
          <w:rFonts w:ascii="Times New Roman" w:eastAsia="Times New Roman" w:hAnsi="Times New Roman" w:cs="Times New Roman"/>
          <w:b w:val="0"/>
          <w:i w:val="0"/>
          <w:sz w:val="18"/>
        </w:rPr>
        <w:t xml:space="preserve">ip </w:t>
      </w:r>
      <w:r>
        <w:rPr>
          <w:rFonts w:ascii="Times New Roman" w:eastAsia="Times New Roman" w:hAnsi="Times New Roman" w:cs="Times New Roman"/>
          <w:b w:val="0"/>
          <w:i w:val="0"/>
          <w:sz w:val="18"/>
        </w:rPr>
        <w:t>is still under</w:t>
      </w:r>
      <w:r>
        <w:rPr>
          <w:rFonts w:ascii="Times New Roman" w:eastAsia="Times New Roman" w:hAnsi="Times New Roman" w:cs="Times New Roman"/>
          <w:b w:val="0"/>
          <w:i w:val="0"/>
          <w:sz w:val="18"/>
        </w:rPr>
        <w:t xml:space="preserve"> construction with </w:t>
      </w:r>
      <w:r>
        <w:rPr>
          <w:rFonts w:ascii="Times New Roman" w:eastAsia="Times New Roman" w:hAnsi="Times New Roman" w:cs="Times New Roman"/>
          <w:b w:val="0"/>
          <w:i w:val="0"/>
          <w:sz w:val="18"/>
        </w:rPr>
        <w:t>$1.9 million</w:t>
      </w:r>
      <w:r>
        <w:rPr>
          <w:rFonts w:ascii="Times New Roman" w:eastAsia="Times New Roman" w:hAnsi="Times New Roman" w:cs="Times New Roman"/>
          <w:b w:val="0"/>
          <w:i w:val="0"/>
          <w:sz w:val="18"/>
        </w:rPr>
        <w:t xml:space="preserve"> remaining to be funded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A $5.7 million commercial lease loan for an automotive parts wholesaler; the loan was placed on nonaccrual and charged down $26.2 million in the fourth quarter of 2025. </w:t>
      </w:r>
      <w:r>
        <w:rPr>
          <w:rFonts w:ascii="Times New Roman" w:eastAsia="Times New Roman" w:hAnsi="Times New Roman" w:cs="Times New Roman"/>
          <w:b w:val="0"/>
          <w:i w:val="0"/>
          <w:sz w:val="18"/>
        </w:rPr>
        <w:t>This l</w:t>
      </w:r>
      <w:r>
        <w:rPr>
          <w:rFonts w:ascii="Times New Roman" w:eastAsia="Times New Roman" w:hAnsi="Times New Roman" w:cs="Times New Roman"/>
          <w:b w:val="0"/>
          <w:i w:val="0"/>
          <w:sz w:val="18"/>
        </w:rPr>
        <w:t xml:space="preserve">ease loan was fully reserved and was </w:t>
      </w:r>
      <w:r>
        <w:rPr>
          <w:rFonts w:ascii="Times New Roman" w:eastAsia="Times New Roman" w:hAnsi="Times New Roman" w:cs="Times New Roman"/>
          <w:b w:val="0"/>
          <w:i w:val="0"/>
          <w:sz w:val="18"/>
        </w:rPr>
        <w:t xml:space="preserve">classified as doubtful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$5.2 million loan relationship was placed on nonaccrual during the second quarter of 2025. The loan is secured by multifamily apartment complexes located in Louisiana.</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$1.4 million guaranteed loan secured by livestock and farmland located in Louisiana; the loan was placed in nonaccrual in the fourth quarter of 2024.</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$1.3 million loan secured by commercial real estate in Texas; the loan was placed on nonaccrual during the third quarter of 2024.</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$1.2 million loan secured by multiple office buildings located in West Virginia; the loan was placed on nonaccrual during the second quarter of 2025.</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A $1.2 million loan </w:t>
      </w:r>
      <w:r>
        <w:rPr>
          <w:rFonts w:ascii="Times New Roman" w:eastAsia="Times New Roman" w:hAnsi="Times New Roman" w:cs="Times New Roman"/>
          <w:b w:val="0"/>
          <w:i w:val="0"/>
          <w:sz w:val="18"/>
        </w:rPr>
        <w:t>secured by a mo</w:t>
      </w:r>
      <w:r>
        <w:rPr>
          <w:rFonts w:ascii="Times New Roman" w:eastAsia="Times New Roman" w:hAnsi="Times New Roman" w:cs="Times New Roman"/>
          <w:b w:val="0"/>
          <w:i w:val="0"/>
          <w:sz w:val="18"/>
        </w:rPr>
        <w:t xml:space="preserve">bile home park located in New Mexico; the loan was placed on </w:t>
      </w:r>
      <w:r>
        <w:rPr>
          <w:rFonts w:ascii="Times New Roman" w:eastAsia="Times New Roman" w:hAnsi="Times New Roman" w:cs="Times New Roman"/>
          <w:b w:val="0"/>
          <w:i w:val="0"/>
          <w:sz w:val="18"/>
        </w:rPr>
        <w:t>nonaccrual during the third quarter of 2024.</w:t>
      </w:r>
    </w:p>
    <w:p>
      <w:pPr>
        <w:keepNext w:val="0"/>
        <w:keepLines w:val="0"/>
        <w:pageBreakBefore w:val="0"/>
        <w:widowControl/>
        <w:numPr>
          <w:ilvl w:val="0"/>
          <w:numId w:val="26"/>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 $1.0 million loan secured by a catt</w:t>
      </w:r>
      <w:r>
        <w:rPr>
          <w:rFonts w:ascii="Times New Roman" w:eastAsia="Times New Roman" w:hAnsi="Times New Roman" w:cs="Times New Roman"/>
          <w:b w:val="0"/>
          <w:i w:val="0"/>
          <w:sz w:val="18"/>
        </w:rPr>
        <w:t>le farm located in Louisiana; the loan was placed on nonaccrual during the third quarter of 2025</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27"/>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First Guaranty charged off $</w:t>
      </w:r>
      <w:r>
        <w:rPr>
          <w:rFonts w:ascii="Times New Roman" w:eastAsia="Times New Roman" w:hAnsi="Times New Roman" w:cs="Times New Roman"/>
          <w:b w:val="0"/>
          <w:i w:val="0"/>
          <w:sz w:val="18"/>
        </w:rPr>
        <w:t>5.4</w:t>
      </w:r>
      <w:r>
        <w:rPr>
          <w:rFonts w:ascii="Times New Roman" w:eastAsia="Times New Roman" w:hAnsi="Times New Roman" w:cs="Times New Roman"/>
          <w:b w:val="0"/>
          <w:i w:val="0"/>
          <w:sz w:val="18"/>
        </w:rPr>
        <w:t xml:space="preserve"> million in loan balances during the </w:t>
      </w:r>
      <w:r>
        <w:rPr>
          <w:rFonts w:ascii="Times New Roman" w:eastAsia="Times New Roman" w:hAnsi="Times New Roman" w:cs="Times New Roman"/>
          <w:b w:val="0"/>
          <w:i w:val="0"/>
          <w:sz w:val="18"/>
        </w:rPr>
        <w:t>first</w:t>
      </w:r>
      <w:r>
        <w:rPr>
          <w:rFonts w:ascii="Times New Roman" w:eastAsia="Times New Roman" w:hAnsi="Times New Roman" w:cs="Times New Roman"/>
          <w:b w:val="0"/>
          <w:i w:val="0"/>
          <w:sz w:val="18"/>
        </w:rPr>
        <w:t xml:space="preserve"> quarter of 202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 The details of the $</w:t>
      </w:r>
      <w:r>
        <w:rPr>
          <w:rFonts w:ascii="Times New Roman" w:eastAsia="Times New Roman" w:hAnsi="Times New Roman" w:cs="Times New Roman"/>
          <w:b w:val="0"/>
          <w:i w:val="0"/>
          <w:sz w:val="18"/>
        </w:rPr>
        <w:t>5.4</w:t>
      </w:r>
      <w:r>
        <w:rPr>
          <w:rFonts w:ascii="Times New Roman" w:eastAsia="Times New Roman" w:hAnsi="Times New Roman" w:cs="Times New Roman"/>
          <w:b w:val="0"/>
          <w:i w:val="0"/>
          <w:sz w:val="18"/>
        </w:rPr>
        <w:t xml:space="preserve"> million in charged-off loans were as follows:</w:t>
      </w:r>
    </w:p>
    <w:p>
      <w:pPr>
        <w:keepNext w:val="0"/>
        <w:keepLines w:val="0"/>
        <w:pageBreakBefore w:val="0"/>
        <w:widowControl/>
        <w:numPr>
          <w:ilvl w:val="0"/>
          <w:numId w:val="28"/>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First Guaranty charged off $1</w:t>
      </w:r>
      <w:r>
        <w:rPr>
          <w:rFonts w:ascii="Times New Roman" w:eastAsia="Times New Roman" w:hAnsi="Times New Roman" w:cs="Times New Roman"/>
          <w:b w:val="0"/>
          <w:i w:val="0"/>
          <w:sz w:val="18"/>
        </w:rPr>
        <w:t>.8</w:t>
      </w:r>
      <w:r>
        <w:rPr>
          <w:rFonts w:ascii="Times New Roman" w:eastAsia="Times New Roman" w:hAnsi="Times New Roman" w:cs="Times New Roman"/>
          <w:b w:val="0"/>
          <w:i w:val="0"/>
          <w:sz w:val="18"/>
        </w:rPr>
        <w:t xml:space="preserve"> million on a </w:t>
      </w:r>
      <w:r>
        <w:rPr>
          <w:rFonts w:ascii="Times New Roman" w:eastAsia="Times New Roman" w:hAnsi="Times New Roman" w:cs="Times New Roman"/>
          <w:b w:val="0"/>
          <w:i w:val="0"/>
          <w:sz w:val="18"/>
        </w:rPr>
        <w:t>commercial and industrial loan</w:t>
      </w:r>
      <w:r>
        <w:rPr>
          <w:rFonts w:ascii="Times New Roman" w:eastAsia="Times New Roman" w:hAnsi="Times New Roman" w:cs="Times New Roman"/>
          <w:b w:val="0"/>
          <w:i w:val="0"/>
          <w:sz w:val="18"/>
        </w:rPr>
        <w:t xml:space="preserve"> during the </w:t>
      </w:r>
      <w:r>
        <w:rPr>
          <w:rFonts w:ascii="Times New Roman" w:eastAsia="Times New Roman" w:hAnsi="Times New Roman" w:cs="Times New Roman"/>
          <w:b w:val="0"/>
          <w:i w:val="0"/>
          <w:sz w:val="18"/>
        </w:rPr>
        <w:t>first</w:t>
      </w:r>
      <w:r>
        <w:rPr>
          <w:rFonts w:ascii="Times New Roman" w:eastAsia="Times New Roman" w:hAnsi="Times New Roman" w:cs="Times New Roman"/>
          <w:b w:val="0"/>
          <w:i w:val="0"/>
          <w:sz w:val="18"/>
        </w:rPr>
        <w:t xml:space="preserve"> quarter of 202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 xml:space="preserve">. This relationship had </w:t>
      </w:r>
      <w:r>
        <w:rPr>
          <w:rFonts w:ascii="Times New Roman" w:eastAsia="Times New Roman" w:hAnsi="Times New Roman" w:cs="Times New Roman"/>
          <w:b w:val="0"/>
          <w:i w:val="0"/>
          <w:sz w:val="18"/>
        </w:rPr>
        <w:t xml:space="preserve">no </w:t>
      </w:r>
      <w:r>
        <w:rPr>
          <w:rFonts w:ascii="Times New Roman" w:eastAsia="Times New Roman" w:hAnsi="Times New Roman" w:cs="Times New Roman"/>
          <w:b w:val="0"/>
          <w:i w:val="0"/>
          <w:sz w:val="18"/>
        </w:rPr>
        <w:t xml:space="preserve">remaining principal balance </w:t>
      </w:r>
      <w:r>
        <w:rPr>
          <w:rFonts w:ascii="Times New Roman" w:eastAsia="Times New Roman" w:hAnsi="Times New Roman" w:cs="Times New Roman"/>
          <w:b w:val="0"/>
          <w:i w:val="0"/>
          <w:sz w:val="18"/>
        </w:rPr>
        <w:t xml:space="preserve">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pPr>
        <w:keepNext w:val="0"/>
        <w:keepLines w:val="0"/>
        <w:pageBreakBefore w:val="0"/>
        <w:widowControl/>
        <w:numPr>
          <w:ilvl w:val="0"/>
          <w:numId w:val="28"/>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First Guaranty charged off $</w:t>
      </w:r>
      <w:r>
        <w:rPr>
          <w:rFonts w:ascii="Times New Roman" w:eastAsia="Times New Roman" w:hAnsi="Times New Roman" w:cs="Times New Roman"/>
          <w:b w:val="0"/>
          <w:i w:val="0"/>
          <w:sz w:val="18"/>
        </w:rPr>
        <w:t>1.</w:t>
      </w:r>
      <w:r>
        <w:rPr>
          <w:rFonts w:ascii="Times New Roman" w:eastAsia="Times New Roman" w:hAnsi="Times New Roman" w:cs="Times New Roman"/>
          <w:b w:val="0"/>
          <w:i w:val="0"/>
          <w:sz w:val="18"/>
        </w:rPr>
        <w:t>0</w:t>
      </w:r>
      <w:r>
        <w:rPr>
          <w:rFonts w:ascii="Times New Roman" w:eastAsia="Times New Roman" w:hAnsi="Times New Roman" w:cs="Times New Roman"/>
          <w:b w:val="0"/>
          <w:i w:val="0"/>
          <w:sz w:val="18"/>
        </w:rPr>
        <w:t xml:space="preserve"> million on a non-farm non-residential loan relationship</w:t>
      </w:r>
      <w:r>
        <w:rPr>
          <w:rFonts w:ascii="Times New Roman" w:eastAsia="Times New Roman" w:hAnsi="Times New Roman" w:cs="Times New Roman"/>
          <w:b w:val="0"/>
          <w:i w:val="0"/>
          <w:sz w:val="18"/>
        </w:rPr>
        <w:t xml:space="preserve"> secured by </w:t>
      </w:r>
      <w:r>
        <w:rPr>
          <w:rFonts w:ascii="Times New Roman" w:eastAsia="Times New Roman" w:hAnsi="Times New Roman" w:cs="Times New Roman"/>
          <w:b w:val="0"/>
          <w:i w:val="0"/>
          <w:sz w:val="18"/>
        </w:rPr>
        <w:t>re</w:t>
      </w:r>
      <w:r>
        <w:rPr>
          <w:rFonts w:ascii="Times New Roman" w:eastAsia="Times New Roman" w:hAnsi="Times New Roman" w:cs="Times New Roman"/>
          <w:b w:val="0"/>
          <w:i w:val="0"/>
          <w:sz w:val="18"/>
        </w:rPr>
        <w:t>tail re</w:t>
      </w:r>
      <w:r>
        <w:rPr>
          <w:rFonts w:ascii="Times New Roman" w:eastAsia="Times New Roman" w:hAnsi="Times New Roman" w:cs="Times New Roman"/>
          <w:b w:val="0"/>
          <w:i w:val="0"/>
          <w:sz w:val="18"/>
        </w:rPr>
        <w:t>al estate during the first quarter of 2026</w:t>
      </w:r>
      <w:r>
        <w:rPr>
          <w:rFonts w:ascii="Times New Roman" w:eastAsia="Times New Roman" w:hAnsi="Times New Roman" w:cs="Times New Roman"/>
          <w:b w:val="0"/>
          <w:i w:val="0"/>
          <w:sz w:val="18"/>
        </w:rPr>
        <w:t xml:space="preserve">. This relationship had </w:t>
      </w:r>
      <w:r>
        <w:rPr>
          <w:rFonts w:ascii="Times New Roman" w:eastAsia="Times New Roman" w:hAnsi="Times New Roman" w:cs="Times New Roman"/>
          <w:b w:val="0"/>
          <w:i w:val="0"/>
          <w:sz w:val="18"/>
        </w:rPr>
        <w:t>no</w:t>
      </w:r>
      <w:r>
        <w:rPr>
          <w:rFonts w:ascii="Times New Roman" w:eastAsia="Times New Roman" w:hAnsi="Times New Roman" w:cs="Times New Roman"/>
          <w:b w:val="0"/>
          <w:i w:val="0"/>
          <w:sz w:val="18"/>
        </w:rPr>
        <w:t xml:space="preserve"> remaining principal balance </w:t>
      </w:r>
      <w:r>
        <w:rPr>
          <w:rFonts w:ascii="Times New Roman" w:eastAsia="Times New Roman" w:hAnsi="Times New Roman" w:cs="Times New Roman"/>
          <w:b w:val="0"/>
          <w:i w:val="0"/>
          <w:sz w:val="18"/>
        </w:rPr>
        <w:t xml:space="preserve">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pPr>
        <w:keepNext w:val="0"/>
        <w:keepLines w:val="0"/>
        <w:pageBreakBefore w:val="0"/>
        <w:widowControl/>
        <w:numPr>
          <w:ilvl w:val="0"/>
          <w:numId w:val="28"/>
        </w:numPr>
        <w:spacing w:before="0" w:after="0" w:line="288" w:lineRule="auto"/>
        <w:ind w:left="108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Smaller loans and overdrawn deposit accounts comprised the remaining $</w:t>
      </w:r>
      <w:r>
        <w:rPr>
          <w:rFonts w:ascii="Times New Roman" w:eastAsia="Times New Roman" w:hAnsi="Times New Roman" w:cs="Times New Roman"/>
          <w:b w:val="0"/>
          <w:i w:val="0"/>
          <w:sz w:val="18"/>
        </w:rPr>
        <w:t>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 xml:space="preserve"> million of charge-offs for the </w:t>
      </w:r>
      <w:r>
        <w:rPr>
          <w:rFonts w:ascii="Times New Roman" w:eastAsia="Times New Roman" w:hAnsi="Times New Roman" w:cs="Times New Roman"/>
          <w:b w:val="0"/>
          <w:i w:val="0"/>
          <w:sz w:val="18"/>
        </w:rPr>
        <w:t>first</w:t>
      </w:r>
      <w:r>
        <w:rPr>
          <w:rFonts w:ascii="Times New Roman" w:eastAsia="Times New Roman" w:hAnsi="Times New Roman" w:cs="Times New Roman"/>
          <w:b w:val="0"/>
          <w:i w:val="0"/>
          <w:sz w:val="18"/>
        </w:rPr>
        <w:t xml:space="preserve"> quarter of 202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29"/>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color w:val="000000"/>
          <w:sz w:val="18"/>
          <w:u w:val="none"/>
        </w:rPr>
        <w:t>S</w:t>
      </w:r>
      <w:r>
        <w:rPr>
          <w:rFonts w:ascii="Times New Roman" w:eastAsia="Times New Roman" w:hAnsi="Times New Roman" w:cs="Times New Roman"/>
          <w:b w:val="0"/>
          <w:i w:val="0"/>
          <w:color w:val="000000"/>
          <w:sz w:val="18"/>
          <w:u w:val="none"/>
        </w:rPr>
        <w:t>pecial mention loan relationships total</w:t>
      </w:r>
      <w:r>
        <w:rPr>
          <w:rFonts w:ascii="Times New Roman" w:eastAsia="Times New Roman" w:hAnsi="Times New Roman" w:cs="Times New Roman"/>
          <w:b w:val="0"/>
          <w:i w:val="0"/>
          <w:color w:val="000000"/>
          <w:sz w:val="18"/>
          <w:u w:val="none"/>
        </w:rPr>
        <w:t>ed</w:t>
      </w:r>
      <w:r>
        <w:rPr>
          <w:rFonts w:ascii="Times New Roman" w:eastAsia="Times New Roman" w:hAnsi="Times New Roman" w:cs="Times New Roman"/>
          <w:b w:val="0"/>
          <w:i w:val="0"/>
          <w:color w:val="000000"/>
          <w:sz w:val="18"/>
          <w:u w:val="none"/>
        </w:rPr>
        <w:t xml:space="preserve"> </w:t>
      </w:r>
      <w:r>
        <w:rPr>
          <w:rFonts w:ascii="Times New Roman" w:eastAsia="Times New Roman" w:hAnsi="Times New Roman" w:cs="Times New Roman"/>
          <w:b w:val="0"/>
          <w:i w:val="0"/>
          <w:color w:val="000000"/>
          <w:sz w:val="18"/>
          <w:u w:val="none"/>
        </w:rPr>
        <w:t>$316.1 million</w:t>
      </w:r>
      <w:r>
        <w:rPr>
          <w:rFonts w:ascii="Times New Roman" w:eastAsia="Times New Roman" w:hAnsi="Times New Roman" w:cs="Times New Roman"/>
          <w:b w:val="0"/>
          <w:i w:val="0"/>
          <w:color w:val="000000"/>
          <w:sz w:val="18"/>
          <w:u w:val="none"/>
        </w:rPr>
        <w:t xml:space="preserve">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color w:val="000000"/>
          <w:sz w:val="18"/>
          <w:u w:val="none"/>
        </w:rPr>
        <w:t xml:space="preserve">, a decline of </w:t>
      </w:r>
      <w:r>
        <w:rPr>
          <w:rFonts w:ascii="Times New Roman" w:eastAsia="Times New Roman" w:hAnsi="Times New Roman" w:cs="Times New Roman"/>
          <w:b w:val="0"/>
          <w:i w:val="0"/>
          <w:color w:val="000000"/>
          <w:sz w:val="18"/>
          <w:u w:val="none"/>
        </w:rPr>
        <w:t>$13.</w:t>
      </w:r>
      <w:r>
        <w:rPr>
          <w:rFonts w:ascii="Times New Roman" w:eastAsia="Times New Roman" w:hAnsi="Times New Roman" w:cs="Times New Roman"/>
          <w:b w:val="0"/>
          <w:i w:val="0"/>
          <w:color w:val="000000"/>
          <w:sz w:val="18"/>
          <w:u w:val="none"/>
        </w:rPr>
        <w:t>4</w:t>
      </w:r>
      <w:r>
        <w:rPr>
          <w:rFonts w:ascii="Times New Roman" w:eastAsia="Times New Roman" w:hAnsi="Times New Roman" w:cs="Times New Roman"/>
          <w:b w:val="0"/>
          <w:i w:val="0"/>
          <w:color w:val="000000"/>
          <w:sz w:val="18"/>
          <w:u w:val="none"/>
        </w:rPr>
        <w:t xml:space="preserve"> </w:t>
      </w:r>
      <w:r>
        <w:rPr>
          <w:rFonts w:ascii="Times New Roman" w:eastAsia="Times New Roman" w:hAnsi="Times New Roman" w:cs="Times New Roman"/>
          <w:b w:val="0"/>
          <w:i w:val="0"/>
          <w:color w:val="000000"/>
          <w:sz w:val="18"/>
          <w:u w:val="none"/>
        </w:rPr>
        <w:t xml:space="preserve">million </w:t>
      </w:r>
      <w:r>
        <w:rPr>
          <w:rFonts w:ascii="Times New Roman" w:eastAsia="Times New Roman" w:hAnsi="Times New Roman" w:cs="Times New Roman"/>
          <w:b w:val="0"/>
          <w:i w:val="0"/>
          <w:color w:val="000000"/>
          <w:sz w:val="18"/>
          <w:u w:val="none"/>
        </w:rPr>
        <w:t>compared to December 31, 2025.</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color w:val="000000"/>
          <w:sz w:val="18"/>
          <w:u w:val="none"/>
        </w:rPr>
      </w:pPr>
    </w:p>
    <w:p>
      <w:pPr>
        <w:keepNext w:val="0"/>
        <w:keepLines w:val="0"/>
        <w:pageBreakBefore w:val="0"/>
        <w:widowControl/>
        <w:numPr>
          <w:ilvl w:val="0"/>
          <w:numId w:val="30"/>
        </w:numPr>
        <w:spacing w:before="0" w:after="0" w:line="288" w:lineRule="auto"/>
        <w:ind w:left="360" w:right="0" w:hanging="36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Substandard</w:t>
      </w:r>
      <w:r>
        <w:rPr>
          <w:rFonts w:ascii="Times New Roman" w:eastAsia="Times New Roman" w:hAnsi="Times New Roman" w:cs="Times New Roman"/>
          <w:b w:val="0"/>
          <w:i w:val="0"/>
          <w:color w:val="000000"/>
          <w:sz w:val="18"/>
          <w:u w:val="none"/>
        </w:rPr>
        <w:t xml:space="preserve"> loan relationships totaled </w:t>
      </w:r>
      <w:r>
        <w:rPr>
          <w:rFonts w:ascii="Times New Roman" w:eastAsia="Times New Roman" w:hAnsi="Times New Roman" w:cs="Times New Roman"/>
          <w:b w:val="0"/>
          <w:i w:val="0"/>
          <w:color w:val="000000"/>
          <w:sz w:val="18"/>
          <w:u w:val="none"/>
        </w:rPr>
        <w:t>$300.9 million</w:t>
      </w:r>
      <w:r>
        <w:rPr>
          <w:rFonts w:ascii="Times New Roman" w:eastAsia="Times New Roman" w:hAnsi="Times New Roman" w:cs="Times New Roman"/>
          <w:b w:val="0"/>
          <w:i w:val="0"/>
          <w:color w:val="000000"/>
          <w:sz w:val="18"/>
          <w:u w:val="none"/>
        </w:rPr>
        <w:t xml:space="preserve">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color w:val="000000"/>
          <w:sz w:val="18"/>
          <w:u w:val="none"/>
        </w:rPr>
        <w:t>, a decline of $</w:t>
      </w:r>
      <w:r>
        <w:rPr>
          <w:rFonts w:ascii="Times New Roman" w:eastAsia="Times New Roman" w:hAnsi="Times New Roman" w:cs="Times New Roman"/>
          <w:b w:val="0"/>
          <w:i w:val="0"/>
          <w:color w:val="000000"/>
          <w:sz w:val="18"/>
          <w:u w:val="none"/>
        </w:rPr>
        <w:t>46.7 million compared to Decem</w:t>
      </w:r>
      <w:r>
        <w:rPr>
          <w:rFonts w:ascii="Times New Roman" w:eastAsia="Times New Roman" w:hAnsi="Times New Roman" w:cs="Times New Roman"/>
          <w:b w:val="0"/>
          <w:i w:val="0"/>
          <w:color w:val="000000"/>
          <w:sz w:val="18"/>
          <w:u w:val="none"/>
        </w:rPr>
        <w:t>ber 31, 2025.</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color w:val="000000"/>
          <w:sz w:val="18"/>
          <w:u w:val="none"/>
        </w:rPr>
      </w:pPr>
    </w:p>
    <w:p>
      <w:pPr>
        <w:keepNext w:val="0"/>
        <w:keepLines w:val="0"/>
        <w:pageBreakBefore w:val="0"/>
        <w:widowControl/>
        <w:numPr>
          <w:ilvl w:val="0"/>
          <w:numId w:val="31"/>
        </w:numPr>
        <w:spacing w:before="0" w:after="0" w:line="288" w:lineRule="auto"/>
        <w:ind w:left="360" w:right="0" w:hanging="36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Doubtful loan relationships tota</w:t>
      </w:r>
      <w:r>
        <w:rPr>
          <w:rFonts w:ascii="Times New Roman" w:eastAsia="Times New Roman" w:hAnsi="Times New Roman" w:cs="Times New Roman"/>
          <w:b w:val="0"/>
          <w:i w:val="0"/>
          <w:color w:val="000000"/>
          <w:sz w:val="18"/>
          <w:u w:val="none"/>
        </w:rPr>
        <w:t>l</w:t>
      </w:r>
      <w:r>
        <w:rPr>
          <w:rFonts w:ascii="Times New Roman" w:eastAsia="Times New Roman" w:hAnsi="Times New Roman" w:cs="Times New Roman"/>
          <w:b w:val="0"/>
          <w:i w:val="0"/>
          <w:color w:val="000000"/>
          <w:sz w:val="18"/>
          <w:u w:val="none"/>
        </w:rPr>
        <w:t xml:space="preserve">ed </w:t>
      </w:r>
      <w:r>
        <w:rPr>
          <w:rFonts w:ascii="Times New Roman" w:eastAsia="Times New Roman" w:hAnsi="Times New Roman" w:cs="Times New Roman"/>
          <w:b w:val="0"/>
          <w:i w:val="0"/>
          <w:color w:val="000000"/>
          <w:sz w:val="18"/>
          <w:u w:val="none"/>
        </w:rPr>
        <w:t>$5.7 million</w:t>
      </w:r>
      <w:r>
        <w:rPr>
          <w:rFonts w:ascii="Times New Roman" w:eastAsia="Times New Roman" w:hAnsi="Times New Roman" w:cs="Times New Roman"/>
          <w:b w:val="0"/>
          <w:i w:val="0"/>
          <w:color w:val="000000"/>
          <w:sz w:val="18"/>
          <w:u w:val="none"/>
        </w:rPr>
        <w:t xml:space="preserve">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color w:val="000000"/>
          <w:sz w:val="18"/>
          <w:u w:val="none"/>
        </w:rPr>
        <w:t>, a decli</w:t>
      </w:r>
      <w:r>
        <w:rPr>
          <w:rFonts w:ascii="Times New Roman" w:eastAsia="Times New Roman" w:hAnsi="Times New Roman" w:cs="Times New Roman"/>
          <w:b w:val="0"/>
          <w:i w:val="0"/>
          <w:color w:val="000000"/>
          <w:sz w:val="18"/>
          <w:u w:val="none"/>
        </w:rPr>
        <w:t xml:space="preserve">ne of </w:t>
      </w:r>
      <w:r>
        <w:rPr>
          <w:rFonts w:ascii="Times New Roman" w:eastAsia="Times New Roman" w:hAnsi="Times New Roman" w:cs="Times New Roman"/>
          <w:b w:val="0"/>
          <w:i w:val="0"/>
          <w:color w:val="000000"/>
          <w:sz w:val="18"/>
          <w:u w:val="none"/>
        </w:rPr>
        <w:t>$3.7 million compared to December 31, 2025.</w:t>
      </w:r>
    </w:p>
    <w:p w:rsidR="00A77B3E">
      <w:pPr>
        <w:keepNext w:val="0"/>
        <w:keepLines w:val="0"/>
        <w:pageBreakBefore w:val="0"/>
        <w:widowControl/>
        <w:numPr>
          <w:ilvl w:val="0"/>
          <w:numId w:val="0"/>
        </w:numPr>
        <w:spacing w:before="0" w:after="0" w:line="288" w:lineRule="auto"/>
        <w:ind w:left="360" w:right="0" w:firstLine="0"/>
        <w:jc w:val="both"/>
        <w:outlineLvl w:val="9"/>
        <w:rPr>
          <w:rFonts w:ascii="Times New Roman" w:eastAsia="Times New Roman" w:hAnsi="Times New Roman" w:cs="Times New Roman"/>
          <w:b w:val="0"/>
          <w:i w:val="0"/>
          <w:color w:val="000000"/>
          <w:sz w:val="18"/>
          <w:u w:val="none"/>
        </w:rPr>
      </w:pPr>
    </w:p>
    <w:p>
      <w:pPr>
        <w:keepNext w:val="0"/>
        <w:keepLines w:val="0"/>
        <w:pageBreakBefore w:val="0"/>
        <w:widowControl/>
        <w:numPr>
          <w:ilvl w:val="0"/>
          <w:numId w:val="32"/>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Noninterest expense totaled </w:t>
      </w:r>
      <w:r>
        <w:rPr>
          <w:rFonts w:ascii="Times New Roman" w:eastAsia="Times New Roman" w:hAnsi="Times New Roman" w:cs="Times New Roman"/>
          <w:b w:val="0"/>
          <w:i w:val="0"/>
          <w:sz w:val="18"/>
        </w:rPr>
        <w:t>$16</w:t>
      </w:r>
      <w:r>
        <w:rPr>
          <w:rFonts w:ascii="Times New Roman" w:eastAsia="Times New Roman" w:hAnsi="Times New Roman" w:cs="Times New Roman"/>
          <w:b w:val="0"/>
          <w:i w:val="0"/>
          <w:sz w:val="18"/>
        </w:rPr>
        <w:t xml:space="preserve">.7 million for the first quarter 2026, </w:t>
      </w:r>
      <w:r>
        <w:rPr>
          <w:rFonts w:ascii="Times New Roman" w:eastAsia="Times New Roman" w:hAnsi="Times New Roman" w:cs="Times New Roman"/>
          <w:b w:val="0"/>
          <w:i w:val="0"/>
          <w:sz w:val="18"/>
        </w:rPr>
        <w:t>$16.8 million for the fourth</w:t>
      </w:r>
      <w:r>
        <w:rPr>
          <w:rFonts w:ascii="Times New Roman" w:eastAsia="Times New Roman" w:hAnsi="Times New Roman" w:cs="Times New Roman"/>
          <w:b w:val="0"/>
          <w:i w:val="0"/>
          <w:sz w:val="18"/>
        </w:rPr>
        <w:t xml:space="preserve"> quarter of 2025, </w:t>
      </w:r>
      <w:r>
        <w:rPr>
          <w:rFonts w:ascii="Times New Roman" w:eastAsia="Times New Roman" w:hAnsi="Times New Roman" w:cs="Times New Roman"/>
          <w:b w:val="0"/>
          <w:i w:val="0"/>
          <w:sz w:val="18"/>
        </w:rPr>
        <w:t xml:space="preserve">$30.2 million for the third quarter of 2025 (including $12.9 million of goodwill impairment), $17.3 million for the second quarter of 2025, </w:t>
      </w:r>
      <w:r>
        <w:rPr>
          <w:rFonts w:ascii="Times New Roman" w:eastAsia="Times New Roman" w:hAnsi="Times New Roman" w:cs="Times New Roman"/>
          <w:b w:val="0"/>
          <w:i w:val="0"/>
          <w:sz w:val="18"/>
        </w:rPr>
        <w:t xml:space="preserve">and </w:t>
      </w:r>
      <w:r>
        <w:rPr>
          <w:rFonts w:ascii="Times New Roman" w:eastAsia="Times New Roman" w:hAnsi="Times New Roman" w:cs="Times New Roman"/>
          <w:b w:val="0"/>
          <w:i w:val="0"/>
          <w:sz w:val="18"/>
        </w:rPr>
        <w:t>$18.0 million for the first quarter of 2025</w:t>
      </w:r>
      <w:r>
        <w:rPr>
          <w:rFonts w:ascii="Times New Roman" w:eastAsia="Times New Roman" w:hAnsi="Times New Roman" w:cs="Times New Roman"/>
          <w:b w:val="0"/>
          <w:i w:val="0"/>
          <w:sz w:val="18"/>
        </w:rPr>
        <w:t>.</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Full time equivalent employees totaled 33</w:t>
      </w:r>
      <w:r>
        <w:rPr>
          <w:rFonts w:ascii="Times New Roman" w:eastAsia="Times New Roman" w:hAnsi="Times New Roman" w:cs="Times New Roman"/>
          <w:b w:val="0"/>
          <w:i w:val="0"/>
          <w:sz w:val="18"/>
        </w:rPr>
        <w:t>0</w:t>
      </w:r>
      <w:r>
        <w:rPr>
          <w:rFonts w:ascii="Times New Roman" w:eastAsia="Times New Roman" w:hAnsi="Times New Roman" w:cs="Times New Roman"/>
          <w:b w:val="0"/>
          <w:i w:val="0"/>
          <w:sz w:val="18"/>
        </w:rPr>
        <w:t xml:space="preserve"> at </w:t>
      </w:r>
      <w:r>
        <w:rPr>
          <w:rFonts w:ascii="Times New Roman" w:eastAsia="Times New Roman" w:hAnsi="Times New Roman" w:cs="Times New Roman"/>
          <w:b w:val="0"/>
          <w:i w:val="0"/>
          <w:sz w:val="18"/>
        </w:rPr>
        <w:t>March 31</w:t>
      </w:r>
      <w:r>
        <w:rPr>
          <w:rFonts w:ascii="Times New Roman" w:eastAsia="Times New Roman" w:hAnsi="Times New Roman" w:cs="Times New Roman"/>
          <w:b w:val="0"/>
          <w:i w:val="0"/>
          <w:sz w:val="18"/>
        </w:rPr>
        <w:t>, 202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 xml:space="preserve"> compared to </w:t>
      </w:r>
      <w:r>
        <w:rPr>
          <w:rFonts w:ascii="Times New Roman" w:eastAsia="Times New Roman" w:hAnsi="Times New Roman" w:cs="Times New Roman"/>
          <w:b w:val="0"/>
          <w:i w:val="0"/>
          <w:sz w:val="18"/>
        </w:rPr>
        <w:t>380 at March 31, 2025</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69" w:lineRule="auto"/>
        <w:ind w:left="-36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33"/>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Return on average assets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was </w:t>
      </w:r>
      <w:r>
        <w:rPr>
          <w:rFonts w:ascii="Times New Roman" w:eastAsia="Times New Roman" w:hAnsi="Times New Roman" w:cs="Times New Roman"/>
          <w:b w:val="0"/>
          <w:i w:val="0"/>
          <w:color w:val="000000"/>
          <w:sz w:val="18"/>
          <w:u w:val="none"/>
        </w:rPr>
        <w:t>0.27%</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(0.63)%</w:t>
      </w:r>
      <w:r>
        <w:rPr>
          <w:rFonts w:ascii="Times New Roman" w:eastAsia="Times New Roman" w:hAnsi="Times New Roman" w:cs="Times New Roman"/>
          <w:b w:val="0"/>
          <w:i w:val="0"/>
          <w:sz w:val="18"/>
        </w:rPr>
        <w:t>, respectively.</w:t>
      </w:r>
      <w:r>
        <w:rPr>
          <w:rFonts w:ascii="Times New Roman" w:eastAsia="Times New Roman" w:hAnsi="Times New Roman" w:cs="Times New Roman"/>
          <w:b w:val="0"/>
          <w:i w:val="0"/>
          <w:color w:val="FF0090"/>
          <w:sz w:val="18"/>
          <w:u w:val="none"/>
        </w:rPr>
        <w:t xml:space="preserve"> </w:t>
      </w:r>
      <w:r>
        <w:rPr>
          <w:rFonts w:ascii="Times New Roman" w:eastAsia="Times New Roman" w:hAnsi="Times New Roman" w:cs="Times New Roman"/>
          <w:b w:val="0"/>
          <w:i w:val="0"/>
          <w:sz w:val="18"/>
        </w:rPr>
        <w:t xml:space="preserve">Return on average common equity for the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was </w:t>
      </w:r>
      <w:r>
        <w:rPr>
          <w:rFonts w:ascii="Times New Roman" w:eastAsia="Times New Roman" w:hAnsi="Times New Roman" w:cs="Times New Roman"/>
          <w:b w:val="0"/>
          <w:i w:val="0"/>
          <w:color w:val="000000"/>
          <w:sz w:val="18"/>
          <w:u w:val="none"/>
        </w:rPr>
        <w:t>4.52%</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(12.29)%</w:t>
      </w:r>
      <w:r>
        <w:rPr>
          <w:rFonts w:ascii="Times New Roman" w:eastAsia="Times New Roman" w:hAnsi="Times New Roman" w:cs="Times New Roman"/>
          <w:b w:val="0"/>
          <w:i w:val="0"/>
          <w:sz w:val="18"/>
        </w:rPr>
        <w:t xml:space="preserve"> respectively. Return on average assets is calculated by dividing annualized net income by average assets. Return on average common equity is calculated by dividing annualized net income by average common equity.</w:t>
      </w:r>
    </w:p>
    <w:p w:rsidR="00A77B3E">
      <w:pPr>
        <w:keepNext w:val="0"/>
        <w:keepLines w:val="0"/>
        <w:pageBreakBefore w:val="0"/>
        <w:widowControl/>
        <w:numPr>
          <w:ilvl w:val="0"/>
          <w:numId w:val="0"/>
        </w:numPr>
        <w:spacing w:before="0" w:after="0" w:line="288" w:lineRule="auto"/>
        <w:ind w:left="360" w:right="0" w:hanging="36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34"/>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Book value per common share was </w:t>
      </w:r>
      <w:r>
        <w:rPr>
          <w:rFonts w:ascii="Times New Roman" w:eastAsia="Times New Roman" w:hAnsi="Times New Roman" w:cs="Times New Roman"/>
          <w:b w:val="0"/>
          <w:i w:val="0"/>
          <w:color w:val="000000"/>
          <w:sz w:val="18"/>
          <w:u w:val="none"/>
        </w:rPr>
        <w:t>$11.91</w:t>
      </w:r>
      <w:r>
        <w:rPr>
          <w:rFonts w:ascii="Times New Roman" w:eastAsia="Times New Roman" w:hAnsi="Times New Roman" w:cs="Times New Roman"/>
          <w:b w:val="0"/>
          <w:i w:val="0"/>
          <w:sz w:val="18"/>
        </w:rPr>
        <w:t xml:space="preserve">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compared to $1</w:t>
      </w:r>
      <w:r>
        <w:rPr>
          <w:rFonts w:ascii="Times New Roman" w:eastAsia="Times New Roman" w:hAnsi="Times New Roman" w:cs="Times New Roman"/>
          <w:b w:val="0"/>
          <w:i w:val="0"/>
          <w:sz w:val="18"/>
        </w:rPr>
        <w:t>2.23</w:t>
      </w:r>
      <w:r>
        <w:rPr>
          <w:rFonts w:ascii="Times New Roman" w:eastAsia="Times New Roman" w:hAnsi="Times New Roman" w:cs="Times New Roman"/>
          <w:b w:val="0"/>
          <w:i w:val="0"/>
          <w:sz w:val="18"/>
        </w:rPr>
        <w:t xml:space="preserve"> as of December 31, 202</w:t>
      </w:r>
      <w:r>
        <w:rPr>
          <w:rFonts w:ascii="Times New Roman" w:eastAsia="Times New Roman" w:hAnsi="Times New Roman" w:cs="Times New Roman"/>
          <w:b w:val="0"/>
          <w:i w:val="0"/>
          <w:sz w:val="18"/>
        </w:rPr>
        <w:t>5</w:t>
      </w:r>
      <w:r>
        <w:rPr>
          <w:rFonts w:ascii="Times New Roman" w:eastAsia="Times New Roman" w:hAnsi="Times New Roman" w:cs="Times New Roman"/>
          <w:b w:val="0"/>
          <w:i w:val="0"/>
          <w:sz w:val="18"/>
        </w:rPr>
        <w:t xml:space="preserve">. The decrease was due primarily to the </w:t>
      </w:r>
      <w:r>
        <w:rPr>
          <w:rFonts w:ascii="Times New Roman" w:eastAsia="Times New Roman" w:hAnsi="Times New Roman" w:cs="Times New Roman"/>
          <w:b w:val="0"/>
          <w:i w:val="0"/>
          <w:sz w:val="18"/>
        </w:rPr>
        <w:t>changes in accumulated other comprehensive income ("AOCI")</w:t>
      </w:r>
      <w:r>
        <w:rPr>
          <w:rFonts w:ascii="Times New Roman" w:eastAsia="Times New Roman" w:hAnsi="Times New Roman" w:cs="Times New Roman"/>
          <w:b w:val="0"/>
          <w:i w:val="0"/>
          <w:sz w:val="18"/>
        </w:rPr>
        <w:t xml:space="preserve"> and recent issuance of new shares</w:t>
      </w:r>
      <w:r>
        <w:rPr>
          <w:rFonts w:ascii="Times New Roman" w:eastAsia="Times New Roman" w:hAnsi="Times New Roman" w:cs="Times New Roman"/>
          <w:b w:val="0"/>
          <w:i w:val="0"/>
          <w:sz w:val="18"/>
        </w:rPr>
        <w:t xml:space="preserve">. AOCI is comprised of unrealized gains and losses on available for sale securities, including unrealized losses on available for sale securities at the time of transfer to held to maturity. </w:t>
      </w:r>
    </w:p>
    <w:p w:rsidR="00A77B3E">
      <w:pPr>
        <w:keepNext w:val="0"/>
        <w:keepLines w:val="0"/>
        <w:pageBreakBefore w:val="0"/>
        <w:widowControl/>
        <w:numPr>
          <w:ilvl w:val="0"/>
          <w:numId w:val="0"/>
        </w:numPr>
        <w:spacing w:before="0" w:after="0" w:line="288" w:lineRule="auto"/>
        <w:ind w:left="360" w:right="0" w:hanging="36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35"/>
        </w:numPr>
        <w:spacing w:before="0" w:after="0" w:line="269"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First Guaranty's Board of Directors declared cash dividends of </w:t>
      </w:r>
      <w:r>
        <w:rPr>
          <w:rFonts w:ascii="Times New Roman" w:eastAsia="Times New Roman" w:hAnsi="Times New Roman" w:cs="Times New Roman"/>
          <w:b w:val="0"/>
          <w:i w:val="0"/>
          <w:color w:val="000000"/>
          <w:sz w:val="18"/>
          <w:u w:val="none"/>
        </w:rPr>
        <w:t>$0.01</w:t>
      </w:r>
      <w:r>
        <w:rPr>
          <w:rFonts w:ascii="Times New Roman" w:eastAsia="Times New Roman" w:hAnsi="Times New Roman" w:cs="Times New Roman"/>
          <w:b w:val="0"/>
          <w:i w:val="0"/>
          <w:sz w:val="18"/>
        </w:rPr>
        <w:t xml:space="preserve"> per common share in the </w:t>
      </w:r>
      <w:r>
        <w:rPr>
          <w:rFonts w:ascii="Times New Roman" w:eastAsia="Times New Roman" w:hAnsi="Times New Roman" w:cs="Times New Roman"/>
          <w:b w:val="0"/>
          <w:i w:val="0"/>
          <w:color w:val="000000"/>
          <w:sz w:val="18"/>
          <w:u w:val="none"/>
        </w:rPr>
        <w:t>first</w:t>
      </w:r>
      <w:r>
        <w:rPr>
          <w:rFonts w:ascii="Times New Roman" w:eastAsia="Times New Roman" w:hAnsi="Times New Roman" w:cs="Times New Roman"/>
          <w:b w:val="0"/>
          <w:i w:val="0"/>
          <w:sz w:val="18"/>
        </w:rPr>
        <w:t xml:space="preserve"> quarter of </w:t>
      </w:r>
      <w:r>
        <w:rPr>
          <w:rFonts w:ascii="Times New Roman" w:eastAsia="Times New Roman" w:hAnsi="Times New Roman" w:cs="Times New Roman"/>
          <w:b w:val="0"/>
          <w:i w:val="0"/>
          <w:color w:val="000000"/>
          <w:sz w:val="18"/>
          <w:u w:val="none"/>
        </w:rPr>
        <w:t>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The reduction in the common stock dividend payment was done in order to preserve capital as part of First Guaranty’s new business strategy announced in the third quarter of 2024. First Guaranty has paid 1</w:t>
      </w:r>
      <w:r>
        <w:rPr>
          <w:rFonts w:ascii="Times New Roman" w:eastAsia="Times New Roman" w:hAnsi="Times New Roman" w:cs="Times New Roman"/>
          <w:b w:val="0"/>
          <w:i w:val="0"/>
          <w:sz w:val="18"/>
        </w:rPr>
        <w:t>31</w:t>
      </w:r>
      <w:r>
        <w:rPr>
          <w:rFonts w:ascii="Times New Roman" w:eastAsia="Times New Roman" w:hAnsi="Times New Roman" w:cs="Times New Roman"/>
          <w:b w:val="0"/>
          <w:i w:val="0"/>
          <w:sz w:val="18"/>
        </w:rPr>
        <w:t xml:space="preserve"> consecutive quarterly dividends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rsidR="00A77B3E">
      <w:pPr>
        <w:keepNext w:val="0"/>
        <w:keepLines w:val="0"/>
        <w:pageBreakBefore w:val="0"/>
        <w:widowControl/>
        <w:numPr>
          <w:ilvl w:val="0"/>
          <w:numId w:val="0"/>
        </w:numPr>
        <w:spacing w:before="0" w:after="0" w:line="288" w:lineRule="auto"/>
        <w:ind w:left="360" w:right="0" w:hanging="36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36"/>
        </w:numPr>
        <w:spacing w:before="0" w:after="0" w:line="288" w:lineRule="auto"/>
        <w:ind w:left="360"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First Guaranty paid preferred stock dividends of </w:t>
      </w:r>
      <w:r>
        <w:rPr>
          <w:rFonts w:ascii="Times New Roman" w:eastAsia="Times New Roman" w:hAnsi="Times New Roman" w:cs="Times New Roman"/>
          <w:b w:val="0"/>
          <w:i w:val="0"/>
          <w:color w:val="000000"/>
          <w:sz w:val="18"/>
          <w:u w:val="none"/>
        </w:rPr>
        <w:t>$0.6 million</w:t>
      </w:r>
      <w:r>
        <w:rPr>
          <w:rFonts w:ascii="Times New Roman" w:eastAsia="Times New Roman" w:hAnsi="Times New Roman" w:cs="Times New Roman"/>
          <w:b w:val="0"/>
          <w:i w:val="0"/>
          <w:sz w:val="18"/>
        </w:rPr>
        <w:t xml:space="preserve"> during the first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months of </w:t>
      </w:r>
      <w:r>
        <w:rPr>
          <w:rFonts w:ascii="Times New Roman" w:eastAsia="Times New Roman" w:hAnsi="Times New Roman" w:cs="Times New Roman"/>
          <w:b w:val="0"/>
          <w:i w:val="0"/>
          <w:color w:val="000000"/>
          <w:sz w:val="18"/>
          <w:u w:val="none"/>
        </w:rPr>
        <w:t>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w:t>
      </w:r>
    </w:p>
    <w:p w:rsidR="00A77B3E">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p>
    <w:p w:rsidR="00A77B3E">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i w:val="0"/>
          <w:sz w:val="18"/>
        </w:rPr>
        <w:t>About First Guaranty</w:t>
      </w:r>
    </w:p>
    <w:p w:rsidR="00A77B3E">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i w:val="0"/>
          <w:sz w:val="18"/>
        </w:rPr>
      </w:pPr>
    </w:p>
    <w:p w:rsidR="00A77B3E">
      <w:pPr>
        <w:keepNext w:val="0"/>
        <w:keepLines w:val="0"/>
        <w:pageBreakBefore w:val="0"/>
        <w:widowControl/>
        <w:numPr>
          <w:ilvl w:val="0"/>
          <w:numId w:val="0"/>
        </w:numPr>
        <w:spacing w:before="0" w:after="200" w:line="269" w:lineRule="auto"/>
        <w:ind w:left="0" w:right="0" w:firstLine="0"/>
        <w:jc w:val="both"/>
        <w:outlineLvl w:val="9"/>
        <w:rPr>
          <w:rFonts w:ascii="Calibri" w:eastAsia="Calibri" w:hAnsi="Calibri" w:cs="Calibri"/>
          <w:b w:val="0"/>
          <w:i w:val="0"/>
          <w:sz w:val="18"/>
        </w:rPr>
      </w:pPr>
      <w:r>
        <w:rPr>
          <w:rFonts w:ascii="Times New Roman" w:eastAsia="Times New Roman" w:hAnsi="Times New Roman" w:cs="Times New Roman"/>
          <w:b w:val="0"/>
          <w:i w:val="0"/>
          <w:sz w:val="18"/>
        </w:rPr>
        <w:t>First Guaranty Bancshares, Inc. is the holding company for First Guaranty Bank, a Louisiana state-chartered bank. Founded in 1934, First Guaranty Bank offers a wide range of financial services and focuses on building client relationships and providing exceptional customer service.  First Guaranty Bank currently operates thirty</w:t>
      </w:r>
      <w:r>
        <w:rPr>
          <w:rFonts w:ascii="Times New Roman" w:eastAsia="Times New Roman" w:hAnsi="Times New Roman" w:cs="Times New Roman"/>
          <w:b w:val="0"/>
          <w:i w:val="0"/>
          <w:sz w:val="18"/>
        </w:rPr>
        <w:t xml:space="preserve"> locations throughout Louisiana, Texas, Kentucky and West Virginia. First Guaranty’s common stock trades on the NASDAQ under the symbol FGBI. For more information, visit www.fgb.net.</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i/>
          <w:sz w:val="18"/>
        </w:rPr>
        <w:t>Forward Looking Statements</w:t>
      </w:r>
    </w:p>
    <w:p w:rsidR="00A77B3E">
      <w:pPr>
        <w:keepNext w:val="0"/>
        <w:keepLines w:val="0"/>
        <w:pageBreakBefore w:val="0"/>
        <w:widowControl/>
        <w:numPr>
          <w:ilvl w:val="0"/>
          <w:numId w:val="0"/>
        </w:numPr>
        <w:spacing w:before="0" w:after="0" w:line="269" w:lineRule="auto"/>
        <w:ind w:left="0" w:right="0" w:firstLine="0"/>
        <w:jc w:val="both"/>
        <w:outlineLvl w:val="9"/>
        <w:rPr>
          <w:rFonts w:ascii="Times New Roman" w:eastAsia="Times New Roman" w:hAnsi="Times New Roman" w:cs="Times New Roman"/>
          <w:b w:val="0"/>
          <w:i/>
          <w:sz w:val="18"/>
        </w:rPr>
      </w:pPr>
      <w:r>
        <w:rPr>
          <w:rFonts w:ascii="Times New Roman" w:eastAsia="Times New Roman" w:hAnsi="Times New Roman" w:cs="Times New Roman"/>
          <w:b w:val="0"/>
          <w:i/>
          <w:sz w:val="18"/>
        </w:rPr>
        <w:t>This report contains forward-looking statements within the meaning of Section 27A of the Securities Act of 1933, as amended, and Section 21E of the Securities Exchange Act of 1934, as amended with respect to the financial condition, liquidity, results of operations, and future performance of the business of First Guaranty Bancshares, Inc. These forward-looking statements are intended to be covered by the safe harbor for “forward-looking statements” provided by the Private Securities Litigation Reform Act of 1995. Forward-looking statements are those that are not historical facts. Forward-looking statements include statements with respect to beliefs, plans, objectives, goals, expectations, anticipations, estimates and intentions that are subject to significant risks and uncertainties and are subject to change based on various factors (some of which are beyond our control). Forward-looking statements often include the words “believes,” “expects,” “anticipates,” “estimates,” “forecasts,” “intends,” “plans,” “targets,” “potentially,” “probably,” “projects,” “outlook” or similar expressions or future conditional verbs such as “may,” “will,” “should,” “would” and “could.” We caution you that any such forward-looking statements are not guarantees of future performance and are subject to risks, assumptions and uncertainties that are difficult to predict. These forward-looking statements are subject to a number of factors and uncertainties, including, without limitation, the “Risk Factors” referenced in our most recent Annual Report on Form 10-K and any subsequent Quarterly Reports on Form 10-Q, and other risks and uncertainties listed from time to time in our reports and documents filed with the Securities and Exchange Commission. We undertake no obligation to publicly update any forward-looking statement, whether as a result of new information, future events or otherwise. Although we believe that the expectations reflected in these forward-looking statements are reasonable as of the date made, actual results may prove to be materially different from the results expressed or implied by the forward-looking statements.</w:t>
      </w:r>
    </w:p>
    <w:p w:rsidR="00A77B3E">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i/>
          <w:sz w:val="18"/>
        </w:rPr>
      </w:pPr>
    </w:p>
    <w:p w:rsidR="00A77B3E">
      <w:pPr>
        <w:keepNext w:val="0"/>
        <w:keepLines w:val="0"/>
        <w:pageBreakBefore w:val="0"/>
        <w:widowControl/>
        <w:numPr>
          <w:ilvl w:val="0"/>
          <w:numId w:val="0"/>
        </w:numPr>
        <w:spacing w:before="0" w:after="0" w:line="269" w:lineRule="auto"/>
        <w:ind w:left="0" w:right="0" w:firstLine="0"/>
        <w:jc w:val="both"/>
        <w:outlineLvl w:val="9"/>
        <w:rPr>
          <w:rFonts w:ascii="Times New Roman" w:eastAsia="Times New Roman" w:hAnsi="Times New Roman" w:cs="Times New Roman"/>
          <w:b w:val="0"/>
          <w:i/>
          <w:sz w:val="18"/>
        </w:rPr>
      </w:pPr>
      <w:r>
        <w:rPr>
          <w:rFonts w:ascii="Times New Roman" w:eastAsia="Times New Roman" w:hAnsi="Times New Roman" w:cs="Times New Roman"/>
          <w:b/>
          <w:i/>
          <w:sz w:val="18"/>
        </w:rPr>
        <w:t>No Offer or Solicitation</w:t>
      </w:r>
    </w:p>
    <w:p w:rsidR="00A77B3E">
      <w:pPr>
        <w:keepNext w:val="0"/>
        <w:keepLines w:val="0"/>
        <w:pageBreakBefore w:val="0"/>
        <w:widowControl/>
        <w:numPr>
          <w:ilvl w:val="0"/>
          <w:numId w:val="0"/>
        </w:numPr>
        <w:spacing w:before="0" w:after="0" w:line="276" w:lineRule="auto"/>
        <w:ind w:left="0" w:right="0" w:firstLine="0"/>
        <w:jc w:val="left"/>
        <w:outlineLvl w:val="9"/>
        <w:rPr>
          <w:rFonts w:ascii="Times New Roman" w:eastAsia="Times New Roman" w:hAnsi="Times New Roman" w:cs="Times New Roman"/>
          <w:b w:val="0"/>
          <w:i/>
          <w:sz w:val="18"/>
        </w:rPr>
      </w:pPr>
    </w:p>
    <w:p w:rsidR="00A77B3E">
      <w:pPr>
        <w:keepNext w:val="0"/>
        <w:keepLines w:val="0"/>
        <w:pageBreakBefore w:val="0"/>
        <w:widowControl/>
        <w:numPr>
          <w:ilvl w:val="0"/>
          <w:numId w:val="0"/>
        </w:numPr>
        <w:spacing w:before="0" w:after="0" w:line="269" w:lineRule="auto"/>
        <w:ind w:left="0" w:right="0" w:firstLine="0"/>
        <w:jc w:val="both"/>
        <w:outlineLvl w:val="9"/>
        <w:rPr>
          <w:rFonts w:ascii="Times New Roman" w:eastAsia="Times New Roman" w:hAnsi="Times New Roman" w:cs="Times New Roman"/>
          <w:b w:val="0"/>
          <w:i/>
          <w:sz w:val="18"/>
        </w:rPr>
      </w:pPr>
      <w:r>
        <w:rPr>
          <w:rFonts w:ascii="Times New Roman" w:eastAsia="Times New Roman" w:hAnsi="Times New Roman" w:cs="Times New Roman"/>
          <w:b w:val="0"/>
          <w:i/>
          <w:sz w:val="18"/>
        </w:rPr>
        <w:t>This release does not constitute or form part of any offer to sell, or a solicitation of an offer to purchase, any securities of First Guaranty. There will be no sale of securities in any jurisdiction in which such an offer, solicitation or sale would be unlawful prior to registration or qualification under the securities laws of such jurisdiction.</w:t>
      </w:r>
    </w:p>
    <w:p w:rsidR="00A77B3E">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sz w:val="18"/>
        </w:rPr>
      </w:pPr>
    </w:p>
    <w:p w:rsidR="00A77B3E">
      <w:pPr>
        <w:keepNext w:val="0"/>
        <w:keepLines w:val="0"/>
        <w:pageBreakBefore w:val="0"/>
        <w:widowControl/>
        <w:numPr>
          <w:ilvl w:val="0"/>
          <w:numId w:val="0"/>
        </w:numPr>
        <w:spacing w:before="0" w:after="0" w:line="288" w:lineRule="auto"/>
        <w:ind w:left="0" w:right="0" w:firstLine="0"/>
        <w:jc w:val="left"/>
        <w:outlineLvl w:val="9"/>
        <w:sectPr>
          <w:headerReference w:type="default" r:id="rId4"/>
          <w:footerReference w:type="default" r:id="rId5"/>
          <w:type w:val="continuous"/>
          <w:pgSz w:w="12240" w:h="15840"/>
          <w:pgMar w:top="585" w:right="855" w:bottom="585" w:left="855" w:header="0" w:footer="0" w:gutter="0"/>
          <w:cols w:space="708"/>
          <w:docGrid w:linePitch="360"/>
        </w:sectPr>
      </w:pPr>
    </w:p>
    <w:tbl>
      <w:tblPr>
        <w:tblStyle w:val="TableNormal0"/>
        <w:tblW w:w="10260" w:type="dxa"/>
        <w:jc w:val="center"/>
        <w:tblLayout w:type="fixed"/>
      </w:tblPr>
      <w:tblGrid>
        <w:gridCol w:w="6750"/>
        <w:gridCol w:w="75"/>
        <w:gridCol w:w="1695"/>
        <w:gridCol w:w="75"/>
        <w:gridCol w:w="1665"/>
      </w:tblGrid>
      <w:tr>
        <w:tblPrEx>
          <w:tblW w:w="10260" w:type="dxa"/>
          <w:tblLayout w:type="fixed"/>
        </w:tblPrEx>
        <w:trPr>
          <w:trHeight w:hRule="exact" w:val="240"/>
        </w:trPr>
        <w:tc>
          <w:tcPr>
            <w:tcW w:w="10260" w:type="dxa"/>
            <w:gridSpan w:val="5"/>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FIRST GUARANTY BANCSHARES, INC. AND SUBSIDIARY</w:t>
            </w:r>
          </w:p>
        </w:tc>
      </w:tr>
      <w:tr>
        <w:tblPrEx>
          <w:tblW w:w="10260" w:type="dxa"/>
          <w:tblLayout w:type="fixed"/>
        </w:tblPrEx>
        <w:trPr>
          <w:trHeight w:hRule="exact" w:val="240"/>
        </w:trPr>
        <w:tc>
          <w:tcPr>
            <w:tcW w:w="10260" w:type="dxa"/>
            <w:gridSpan w:val="5"/>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CONSOLIDATED BALANCE SHEETS (unaudited)</w:t>
            </w:r>
          </w:p>
        </w:tc>
      </w:tr>
      <w:tr>
        <w:tblPrEx>
          <w:tblW w:w="10260" w:type="dxa"/>
          <w:tblLayout w:type="fixed"/>
        </w:tblPrEx>
        <w:trPr>
          <w:trHeight w:hRule="exact" w:val="240"/>
        </w:trPr>
        <w:tc>
          <w:tcPr>
            <w:tcW w:w="675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18"/>
                <w:u w:val="none"/>
              </w:rPr>
              <w:t>(in thousands, except share data)</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December 31, 2025</w:t>
            </w:r>
          </w:p>
        </w:tc>
      </w:tr>
      <w:tr>
        <w:tblPrEx>
          <w:tblW w:w="10260" w:type="dxa"/>
          <w:tblLayout w:type="fixed"/>
        </w:tblPrEx>
        <w:trPr>
          <w:trHeight w:hRule="exact" w:val="240"/>
        </w:trPr>
        <w:tc>
          <w:tcPr>
            <w:tcW w:w="67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Assets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Cash and cash equivalents: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Cash and due from banks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w:t>
              <w:tab/>
              <w:t>733,223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w:t>
              <w:tab/>
              <w:t>845,150</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Federal funds sold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99"/>
                <w:tab w:val="left" w:pos="1627"/>
              </w:tabs>
              <w:spacing w:before="75" w:after="30" w:line="240" w:lineRule="auto"/>
              <w:jc w:val="right"/>
            </w:pPr>
            <w:r>
              <w:rPr>
                <w:rFonts w:ascii="Times New Roman" w:eastAsia="Times New Roman" w:hAnsi="Times New Roman" w:cs="Times New Roman"/>
                <w:b w:val="0"/>
                <w:i w:val="0"/>
                <w:color w:val="000000"/>
                <w:sz w:val="18"/>
                <w:u w:val="none"/>
              </w:rPr>
              <w:tab/>
              <w:t>544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69"/>
                <w:tab w:val="left" w:pos="1597"/>
              </w:tabs>
              <w:spacing w:before="75" w:after="30" w:line="240" w:lineRule="auto"/>
              <w:jc w:val="right"/>
            </w:pPr>
            <w:r>
              <w:rPr>
                <w:rFonts w:ascii="Times New Roman" w:eastAsia="Times New Roman" w:hAnsi="Times New Roman" w:cs="Times New Roman"/>
                <w:b w:val="0"/>
                <w:i w:val="0"/>
                <w:color w:val="000000"/>
                <w:sz w:val="18"/>
                <w:u w:val="none"/>
              </w:rPr>
              <w:tab/>
              <w:t>551</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55" w:after="30" w:line="240" w:lineRule="auto"/>
              <w:jc w:val="right"/>
            </w:pPr>
            <w:r>
              <w:rPr>
                <w:rFonts w:ascii="Times New Roman" w:eastAsia="Times New Roman" w:hAnsi="Times New Roman" w:cs="Times New Roman"/>
                <w:b/>
                <w:i w:val="0"/>
                <w:color w:val="000000"/>
                <w:sz w:val="18"/>
                <w:u w:val="none"/>
              </w:rPr>
              <w:tab/>
              <w:t>733,767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55" w:after="30" w:line="240" w:lineRule="auto"/>
              <w:jc w:val="right"/>
            </w:pPr>
            <w:r>
              <w:rPr>
                <w:rFonts w:ascii="Times New Roman" w:eastAsia="Times New Roman" w:hAnsi="Times New Roman" w:cs="Times New Roman"/>
                <w:b/>
                <w:i w:val="0"/>
                <w:color w:val="000000"/>
                <w:sz w:val="18"/>
                <w:u w:val="none"/>
              </w:rPr>
              <w:tab/>
              <w:t>845,701</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Interest-earning time deposits with banks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250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250</w:t>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Investment securities: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Available for sale, at fair value (cost of </w:t>
            </w:r>
            <w:r>
              <w:rPr>
                <w:rFonts w:ascii="Times New Roman" w:eastAsia="Times New Roman" w:hAnsi="Times New Roman" w:cs="Times New Roman"/>
                <w:b w:val="0"/>
                <w:i w:val="0"/>
                <w:color w:val="000000"/>
                <w:sz w:val="18"/>
                <w:u w:val="none"/>
              </w:rPr>
              <w:t>$859,464</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$674,139</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respectively)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ab/>
              <w:t>853,913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ab/>
              <w:t>676,592</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75" w:after="30" w:line="240" w:lineRule="auto"/>
              <w:ind w:left="0" w:right="0" w:firstLine="0"/>
              <w:jc w:val="lef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Held to maturity, at cost and net of allowance for credit losses of $150 (estimated fair value of </w:t>
            </w:r>
            <w:r>
              <w:rPr>
                <w:rFonts w:ascii="Times New Roman" w:eastAsia="Times New Roman" w:hAnsi="Times New Roman" w:cs="Times New Roman"/>
                <w:b w:val="0"/>
                <w:i w:val="0"/>
                <w:color w:val="000000"/>
                <w:sz w:val="18"/>
                <w:u w:val="none"/>
              </w:rPr>
              <w:t>$265,579</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$268,094</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respectively)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ab/>
              <w:t>322,939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ab/>
              <w:t>322,675</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Investment securities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9"/>
                <w:tab w:val="left" w:pos="1627"/>
              </w:tabs>
              <w:spacing w:before="55" w:after="30" w:line="240" w:lineRule="auto"/>
              <w:jc w:val="right"/>
            </w:pPr>
            <w:r>
              <w:rPr>
                <w:rFonts w:ascii="Times New Roman" w:eastAsia="Times New Roman" w:hAnsi="Times New Roman" w:cs="Times New Roman"/>
                <w:b/>
                <w:i w:val="0"/>
                <w:color w:val="000000"/>
                <w:sz w:val="18"/>
                <w:u w:val="none"/>
              </w:rPr>
              <w:tab/>
              <w:t>1,176,852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4"/>
                <w:tab w:val="left" w:pos="1597"/>
              </w:tabs>
              <w:spacing w:before="55" w:after="30" w:line="240" w:lineRule="auto"/>
              <w:jc w:val="right"/>
            </w:pPr>
            <w:r>
              <w:rPr>
                <w:rFonts w:ascii="Times New Roman" w:eastAsia="Times New Roman" w:hAnsi="Times New Roman" w:cs="Times New Roman"/>
                <w:b/>
                <w:i w:val="0"/>
                <w:color w:val="000000"/>
                <w:sz w:val="18"/>
                <w:u w:val="none"/>
              </w:rPr>
              <w:tab/>
              <w:t>999,267</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Federal Home Loan Bank stock, at cost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10,324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10,206</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Loans, net of unearned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9"/>
                <w:tab w:val="left" w:pos="1627"/>
              </w:tabs>
              <w:spacing w:before="75" w:after="30" w:line="240" w:lineRule="auto"/>
              <w:jc w:val="right"/>
            </w:pPr>
            <w:r>
              <w:rPr>
                <w:rFonts w:ascii="Times New Roman" w:eastAsia="Times New Roman" w:hAnsi="Times New Roman" w:cs="Times New Roman"/>
                <w:b w:val="0"/>
                <w:i w:val="0"/>
                <w:color w:val="000000"/>
                <w:sz w:val="18"/>
                <w:u w:val="none"/>
              </w:rPr>
              <w:tab/>
              <w:t>1,924,577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9"/>
                <w:tab w:val="left" w:pos="1597"/>
              </w:tabs>
              <w:spacing w:before="75" w:after="30" w:line="240" w:lineRule="auto"/>
              <w:jc w:val="right"/>
            </w:pPr>
            <w:r>
              <w:rPr>
                <w:rFonts w:ascii="Times New Roman" w:eastAsia="Times New Roman" w:hAnsi="Times New Roman" w:cs="Times New Roman"/>
                <w:b w:val="0"/>
                <w:i w:val="0"/>
                <w:color w:val="000000"/>
                <w:sz w:val="18"/>
                <w:u w:val="none"/>
              </w:rPr>
              <w:tab/>
              <w:t>2,069,802</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Less: allowance for credit losses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38,488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40,755</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Net loans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9"/>
                <w:tab w:val="left" w:pos="1627"/>
              </w:tabs>
              <w:spacing w:before="55" w:after="30" w:line="240" w:lineRule="auto"/>
              <w:jc w:val="right"/>
            </w:pPr>
            <w:r>
              <w:rPr>
                <w:rFonts w:ascii="Times New Roman" w:eastAsia="Times New Roman" w:hAnsi="Times New Roman" w:cs="Times New Roman"/>
                <w:b/>
                <w:i w:val="0"/>
                <w:color w:val="000000"/>
                <w:sz w:val="18"/>
                <w:u w:val="none"/>
              </w:rPr>
              <w:tab/>
              <w:t>1,886,089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9"/>
                <w:tab w:val="left" w:pos="1597"/>
              </w:tabs>
              <w:spacing w:before="55" w:after="30" w:line="240" w:lineRule="auto"/>
              <w:jc w:val="right"/>
            </w:pPr>
            <w:r>
              <w:rPr>
                <w:rFonts w:ascii="Times New Roman" w:eastAsia="Times New Roman" w:hAnsi="Times New Roman" w:cs="Times New Roman"/>
                <w:b/>
                <w:i w:val="0"/>
                <w:color w:val="000000"/>
                <w:sz w:val="18"/>
                <w:u w:val="none"/>
              </w:rPr>
              <w:tab/>
              <w:t>2,029,047</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Premises and equipment,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58,753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59,585</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Intangible assets, net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4"/>
                <w:tab w:val="left" w:pos="1627"/>
              </w:tabs>
              <w:spacing w:before="75" w:after="30" w:line="240" w:lineRule="auto"/>
              <w:jc w:val="right"/>
            </w:pPr>
            <w:r>
              <w:rPr>
                <w:rFonts w:ascii="Times New Roman" w:eastAsia="Times New Roman" w:hAnsi="Times New Roman" w:cs="Times New Roman"/>
                <w:b w:val="0"/>
                <w:i w:val="0"/>
                <w:color w:val="000000"/>
                <w:sz w:val="18"/>
                <w:u w:val="none"/>
              </w:rPr>
              <w:tab/>
              <w:t>2,429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597"/>
              </w:tabs>
              <w:spacing w:before="75" w:after="30" w:line="240" w:lineRule="auto"/>
              <w:jc w:val="right"/>
            </w:pPr>
            <w:r>
              <w:rPr>
                <w:rFonts w:ascii="Times New Roman" w:eastAsia="Times New Roman" w:hAnsi="Times New Roman" w:cs="Times New Roman"/>
                <w:b w:val="0"/>
                <w:i w:val="0"/>
                <w:color w:val="000000"/>
                <w:sz w:val="18"/>
                <w:u w:val="none"/>
              </w:rPr>
              <w:tab/>
              <w:t>2,638</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 real estate,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28,872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35,084</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Accrued interest receivable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13,920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12,455</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47,286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84,088</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49"/>
                <w:tab w:val="left" w:pos="1627"/>
              </w:tabs>
              <w:spacing w:before="55" w:after="30" w:line="240" w:lineRule="auto"/>
              <w:jc w:val="right"/>
            </w:pPr>
            <w:r>
              <w:rPr>
                <w:rFonts w:ascii="Times New Roman" w:eastAsia="Times New Roman" w:hAnsi="Times New Roman" w:cs="Times New Roman"/>
                <w:b/>
                <w:i w:val="0"/>
                <w:color w:val="000000"/>
                <w:sz w:val="18"/>
                <w:u w:val="none"/>
              </w:rPr>
              <w:t>$</w:t>
              <w:tab/>
              <w:t>3,958,542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9"/>
                <w:tab w:val="left" w:pos="1597"/>
              </w:tabs>
              <w:spacing w:before="55" w:after="30" w:line="240" w:lineRule="auto"/>
              <w:jc w:val="right"/>
            </w:pPr>
            <w:r>
              <w:rPr>
                <w:rFonts w:ascii="Times New Roman" w:eastAsia="Times New Roman" w:hAnsi="Times New Roman" w:cs="Times New Roman"/>
                <w:b/>
                <w:i w:val="0"/>
                <w:color w:val="000000"/>
                <w:sz w:val="18"/>
                <w:u w:val="none"/>
              </w:rPr>
              <w:t>$</w:t>
              <w:tab/>
              <w:t>4,078,321</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Liabilities and Shareholders'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Deposits: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Noninterest-bearing demand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w:t>
              <w:tab/>
              <w:t>411,764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w:t>
              <w:tab/>
              <w:t>414,604</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Interest-bearing demand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49"/>
                <w:tab w:val="left" w:pos="1627"/>
              </w:tabs>
              <w:spacing w:before="75" w:after="30" w:line="240" w:lineRule="auto"/>
              <w:jc w:val="right"/>
            </w:pPr>
            <w:r>
              <w:rPr>
                <w:rFonts w:ascii="Times New Roman" w:eastAsia="Times New Roman" w:hAnsi="Times New Roman" w:cs="Times New Roman"/>
                <w:b w:val="0"/>
                <w:i w:val="0"/>
                <w:color w:val="000000"/>
                <w:sz w:val="18"/>
                <w:u w:val="none"/>
              </w:rPr>
              <w:tab/>
              <w:t>1,100,162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9"/>
                <w:tab w:val="left" w:pos="1597"/>
              </w:tabs>
              <w:spacing w:before="75" w:after="30" w:line="240" w:lineRule="auto"/>
              <w:jc w:val="right"/>
            </w:pPr>
            <w:r>
              <w:rPr>
                <w:rFonts w:ascii="Times New Roman" w:eastAsia="Times New Roman" w:hAnsi="Times New Roman" w:cs="Times New Roman"/>
                <w:b w:val="0"/>
                <w:i w:val="0"/>
                <w:color w:val="000000"/>
                <w:sz w:val="18"/>
                <w:u w:val="none"/>
              </w:rPr>
              <w:tab/>
              <w:t>1,165,061</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Savings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ab/>
              <w:t>217,316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ab/>
              <w:t>213,936</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Time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49"/>
                <w:tab w:val="left" w:pos="1627"/>
              </w:tabs>
              <w:spacing w:before="75" w:after="30" w:line="240" w:lineRule="auto"/>
              <w:jc w:val="right"/>
            </w:pPr>
            <w:r>
              <w:rPr>
                <w:rFonts w:ascii="Times New Roman" w:eastAsia="Times New Roman" w:hAnsi="Times New Roman" w:cs="Times New Roman"/>
                <w:b w:val="0"/>
                <w:i w:val="0"/>
                <w:color w:val="000000"/>
                <w:sz w:val="18"/>
                <w:u w:val="none"/>
              </w:rPr>
              <w:tab/>
              <w:t>1,778,302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9"/>
                <w:tab w:val="left" w:pos="1597"/>
              </w:tabs>
              <w:spacing w:before="75" w:after="30" w:line="240" w:lineRule="auto"/>
              <w:jc w:val="right"/>
            </w:pPr>
            <w:r>
              <w:rPr>
                <w:rFonts w:ascii="Times New Roman" w:eastAsia="Times New Roman" w:hAnsi="Times New Roman" w:cs="Times New Roman"/>
                <w:b w:val="0"/>
                <w:i w:val="0"/>
                <w:color w:val="000000"/>
                <w:sz w:val="18"/>
                <w:u w:val="none"/>
              </w:rPr>
              <w:tab/>
              <w:t>1,839,276</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deposits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9"/>
                <w:tab w:val="left" w:pos="1627"/>
              </w:tabs>
              <w:spacing w:before="55" w:after="30" w:line="240" w:lineRule="auto"/>
              <w:jc w:val="right"/>
            </w:pPr>
            <w:r>
              <w:rPr>
                <w:rFonts w:ascii="Times New Roman" w:eastAsia="Times New Roman" w:hAnsi="Times New Roman" w:cs="Times New Roman"/>
                <w:b/>
                <w:i w:val="0"/>
                <w:color w:val="000000"/>
                <w:sz w:val="18"/>
                <w:u w:val="none"/>
              </w:rPr>
              <w:tab/>
              <w:t>3,507,544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9"/>
                <w:tab w:val="left" w:pos="1597"/>
              </w:tabs>
              <w:spacing w:before="55" w:after="30" w:line="240" w:lineRule="auto"/>
              <w:jc w:val="right"/>
            </w:pPr>
            <w:r>
              <w:rPr>
                <w:rFonts w:ascii="Times New Roman" w:eastAsia="Times New Roman" w:hAnsi="Times New Roman" w:cs="Times New Roman"/>
                <w:b/>
                <w:i w:val="0"/>
                <w:color w:val="000000"/>
                <w:sz w:val="18"/>
                <w:u w:val="none"/>
              </w:rPr>
              <w:tab/>
              <w:t>3,632,877</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Repurchase agreements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4"/>
                <w:tab w:val="left" w:pos="1627"/>
              </w:tabs>
              <w:spacing w:before="75" w:after="30" w:line="240" w:lineRule="auto"/>
              <w:jc w:val="right"/>
            </w:pPr>
            <w:r>
              <w:rPr>
                <w:rFonts w:ascii="Times New Roman" w:eastAsia="Times New Roman" w:hAnsi="Times New Roman" w:cs="Times New Roman"/>
                <w:b w:val="0"/>
                <w:i w:val="0"/>
                <w:color w:val="000000"/>
                <w:sz w:val="18"/>
                <w:u w:val="none"/>
              </w:rPr>
              <w:tab/>
              <w:t>7,119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597"/>
              </w:tabs>
              <w:spacing w:before="75" w:after="30" w:line="240" w:lineRule="auto"/>
              <w:jc w:val="right"/>
            </w:pPr>
            <w:r>
              <w:rPr>
                <w:rFonts w:ascii="Times New Roman" w:eastAsia="Times New Roman" w:hAnsi="Times New Roman" w:cs="Times New Roman"/>
                <w:b w:val="0"/>
                <w:i w:val="0"/>
                <w:color w:val="000000"/>
                <w:sz w:val="18"/>
                <w:u w:val="none"/>
              </w:rPr>
              <w:tab/>
              <w:t>7,119</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Accrued interest payable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22,558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17,637</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Long-term advances from Federal Home Loan Bank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ab/>
              <w:t>135,000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ab/>
              <w:t>135,000</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Senior long-term debt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14,210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14,203</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Junior subordinated debentures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29,820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29,805</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18,301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15,462</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49"/>
                <w:tab w:val="left" w:pos="1627"/>
              </w:tabs>
              <w:spacing w:before="55" w:after="30" w:line="240" w:lineRule="auto"/>
              <w:jc w:val="right"/>
            </w:pPr>
            <w:r>
              <w:rPr>
                <w:rFonts w:ascii="Times New Roman" w:eastAsia="Times New Roman" w:hAnsi="Times New Roman" w:cs="Times New Roman"/>
                <w:b/>
                <w:i w:val="0"/>
                <w:color w:val="000000"/>
                <w:sz w:val="18"/>
                <w:u w:val="none"/>
              </w:rPr>
              <w:tab/>
              <w:t>3,734,552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9"/>
                <w:tab w:val="left" w:pos="1597"/>
              </w:tabs>
              <w:spacing w:before="55" w:after="30" w:line="240" w:lineRule="auto"/>
              <w:jc w:val="right"/>
            </w:pPr>
            <w:r>
              <w:rPr>
                <w:rFonts w:ascii="Times New Roman" w:eastAsia="Times New Roman" w:hAnsi="Times New Roman" w:cs="Times New Roman"/>
                <w:b/>
                <w:i w:val="0"/>
                <w:color w:val="000000"/>
                <w:sz w:val="18"/>
                <w:u w:val="none"/>
              </w:rPr>
              <w:tab/>
              <w:t>3,852,103</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40"/>
        </w:trPr>
        <w:tc>
          <w:tcPr>
            <w:tcW w:w="675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Shareholders'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Preferred stock, Series A - $1,000 par value - 100,000 shares authorized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120"/>
              <w:jc w:val="left"/>
            </w:pPr>
            <w:r>
              <w:rPr>
                <w:rFonts w:ascii="Times New Roman" w:eastAsia="Times New Roman" w:hAnsi="Times New Roman" w:cs="Times New Roman"/>
                <w:b w:val="0"/>
                <w:i w:val="0"/>
                <w:color w:val="000000"/>
                <w:sz w:val="18"/>
                <w:u w:val="none"/>
              </w:rPr>
              <w:t>Non-cumulative perpetual; 34,500 issued and outstanding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33,058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33,058</w:t>
              <w:tab/>
            </w:r>
          </w:p>
        </w:tc>
      </w:tr>
      <w:tr>
        <w:tblPrEx>
          <w:tblW w:w="10260" w:type="dxa"/>
          <w:tblLayout w:type="fixed"/>
        </w:tblPrEx>
        <w:trPr>
          <w:trHeight w:hRule="exact" w:val="465"/>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Common stock, $1 par value - 100,600,000 shares authorized; 16,028,044 and 15,793,433 shares issued and outstanding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16,028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15,793</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Surplus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627"/>
              </w:tabs>
              <w:spacing w:before="75" w:after="30" w:line="240" w:lineRule="auto"/>
              <w:jc w:val="right"/>
            </w:pPr>
            <w:r>
              <w:rPr>
                <w:rFonts w:ascii="Times New Roman" w:eastAsia="Times New Roman" w:hAnsi="Times New Roman" w:cs="Times New Roman"/>
                <w:b w:val="0"/>
                <w:i w:val="0"/>
                <w:color w:val="000000"/>
                <w:sz w:val="18"/>
                <w:u w:val="none"/>
              </w:rPr>
              <w:tab/>
              <w:t>172,209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4"/>
                <w:tab w:val="left" w:pos="1597"/>
              </w:tabs>
              <w:spacing w:before="75" w:after="30" w:line="240" w:lineRule="auto"/>
              <w:jc w:val="right"/>
            </w:pPr>
            <w:r>
              <w:rPr>
                <w:rFonts w:ascii="Times New Roman" w:eastAsia="Times New Roman" w:hAnsi="Times New Roman" w:cs="Times New Roman"/>
                <w:b w:val="0"/>
                <w:i w:val="0"/>
                <w:color w:val="000000"/>
                <w:sz w:val="18"/>
                <w:u w:val="none"/>
              </w:rPr>
              <w:tab/>
              <w:t>170,621</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Retained earnings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74"/>
                <w:tab w:val="left" w:pos="1627"/>
              </w:tabs>
              <w:spacing w:before="75" w:after="30" w:line="240" w:lineRule="auto"/>
              <w:jc w:val="right"/>
            </w:pPr>
            <w:r>
              <w:rPr>
                <w:rFonts w:ascii="Times New Roman" w:eastAsia="Times New Roman" w:hAnsi="Times New Roman" w:cs="Times New Roman"/>
                <w:b w:val="0"/>
                <w:i w:val="0"/>
                <w:color w:val="000000"/>
                <w:sz w:val="18"/>
                <w:u w:val="none"/>
              </w:rPr>
              <w:tab/>
              <w:t>16,058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44"/>
                <w:tab w:val="left" w:pos="1597"/>
              </w:tabs>
              <w:spacing w:before="75" w:after="30" w:line="240" w:lineRule="auto"/>
              <w:jc w:val="right"/>
            </w:pPr>
            <w:r>
              <w:rPr>
                <w:rFonts w:ascii="Times New Roman" w:eastAsia="Times New Roman" w:hAnsi="Times New Roman" w:cs="Times New Roman"/>
                <w:b w:val="0"/>
                <w:i w:val="0"/>
                <w:color w:val="000000"/>
                <w:sz w:val="18"/>
                <w:u w:val="none"/>
              </w:rPr>
              <w:tab/>
              <w:t>14,055</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Accumulated other comprehensive (loss)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94"/>
              </w:tabs>
              <w:spacing w:before="75" w:after="30" w:line="240" w:lineRule="auto"/>
              <w:jc w:val="right"/>
            </w:pPr>
            <w:r>
              <w:rPr>
                <w:rFonts w:ascii="Times New Roman" w:eastAsia="Times New Roman" w:hAnsi="Times New Roman" w:cs="Times New Roman"/>
                <w:b w:val="0"/>
                <w:i w:val="0"/>
                <w:color w:val="000000"/>
                <w:sz w:val="18"/>
                <w:u w:val="none"/>
              </w:rPr>
              <w:tab/>
              <w:t>(13,363)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54"/>
              </w:tabs>
              <w:spacing w:before="75" w:after="30" w:line="240" w:lineRule="auto"/>
              <w:jc w:val="right"/>
            </w:pPr>
            <w:r>
              <w:rPr>
                <w:rFonts w:ascii="Times New Roman" w:eastAsia="Times New Roman" w:hAnsi="Times New Roman" w:cs="Times New Roman"/>
                <w:b w:val="0"/>
                <w:i w:val="0"/>
                <w:color w:val="000000"/>
                <w:sz w:val="18"/>
                <w:u w:val="none"/>
              </w:rPr>
              <w:tab/>
              <w:t>(7,309)</w:t>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Shareholders'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84"/>
                <w:tab w:val="left" w:pos="1627"/>
              </w:tabs>
              <w:spacing w:before="55" w:after="30" w:line="240" w:lineRule="auto"/>
              <w:jc w:val="right"/>
            </w:pPr>
            <w:r>
              <w:rPr>
                <w:rFonts w:ascii="Times New Roman" w:eastAsia="Times New Roman" w:hAnsi="Times New Roman" w:cs="Times New Roman"/>
                <w:b/>
                <w:i w:val="0"/>
                <w:color w:val="000000"/>
                <w:sz w:val="18"/>
                <w:u w:val="none"/>
              </w:rPr>
              <w:tab/>
              <w:t>223,990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54"/>
                <w:tab w:val="left" w:pos="1597"/>
              </w:tabs>
              <w:spacing w:before="55" w:after="30" w:line="240" w:lineRule="auto"/>
              <w:jc w:val="right"/>
            </w:pPr>
            <w:r>
              <w:rPr>
                <w:rFonts w:ascii="Times New Roman" w:eastAsia="Times New Roman" w:hAnsi="Times New Roman" w:cs="Times New Roman"/>
                <w:b/>
                <w:i w:val="0"/>
                <w:color w:val="000000"/>
                <w:sz w:val="18"/>
                <w:u w:val="none"/>
              </w:rPr>
              <w:tab/>
              <w:t>226,218</w:t>
              <w:tab/>
            </w:r>
          </w:p>
        </w:tc>
      </w:tr>
      <w:tr>
        <w:tblPrEx>
          <w:tblW w:w="10260" w:type="dxa"/>
          <w:tblLayout w:type="fixed"/>
        </w:tblPrEx>
        <w:trPr>
          <w:trHeight w:hRule="exact" w:val="240"/>
        </w:trPr>
        <w:tc>
          <w:tcPr>
            <w:tcW w:w="675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Liabilities and Shareholders'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49"/>
                <w:tab w:val="left" w:pos="1627"/>
              </w:tabs>
              <w:spacing w:before="55" w:after="30" w:line="240" w:lineRule="auto"/>
              <w:jc w:val="right"/>
            </w:pPr>
            <w:r>
              <w:rPr>
                <w:rFonts w:ascii="Times New Roman" w:eastAsia="Times New Roman" w:hAnsi="Times New Roman" w:cs="Times New Roman"/>
                <w:b/>
                <w:i w:val="0"/>
                <w:color w:val="000000"/>
                <w:sz w:val="18"/>
                <w:u w:val="none"/>
              </w:rPr>
              <w:t>$</w:t>
              <w:tab/>
              <w:t>3,958,542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9"/>
                <w:tab w:val="left" w:pos="1597"/>
              </w:tabs>
              <w:spacing w:before="55" w:after="30" w:line="240" w:lineRule="auto"/>
              <w:jc w:val="right"/>
            </w:pPr>
            <w:r>
              <w:rPr>
                <w:rFonts w:ascii="Times New Roman" w:eastAsia="Times New Roman" w:hAnsi="Times New Roman" w:cs="Times New Roman"/>
                <w:b/>
                <w:i w:val="0"/>
                <w:color w:val="000000"/>
                <w:sz w:val="18"/>
                <w:u w:val="none"/>
              </w:rPr>
              <w:t>$</w:t>
              <w:tab/>
              <w:t>4,078,321</w:t>
              <w:tab/>
            </w:r>
          </w:p>
        </w:tc>
      </w:tr>
      <w:tr>
        <w:tblPrEx>
          <w:tblW w:w="10260" w:type="dxa"/>
          <w:tblLayout w:type="fixed"/>
        </w:tblPrEx>
        <w:trPr>
          <w:trHeight w:hRule="exact" w:val="240"/>
        </w:trPr>
        <w:tc>
          <w:tcPr>
            <w:tcW w:w="675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15" w:after="30" w:line="240" w:lineRule="auto"/>
              <w:jc w:val="left"/>
            </w:pPr>
            <w:r>
              <w:rPr>
                <w:rFonts w:ascii="Times New Roman" w:eastAsia="Times New Roman" w:hAnsi="Times New Roman" w:cs="Times New Roman"/>
                <w:b w:val="0"/>
                <w:i/>
                <w:color w:val="000000"/>
                <w:sz w:val="18"/>
                <w:u w:val="none"/>
              </w:rPr>
              <w:t>See Notes to Consolidated Financial Statements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69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pageBreakBefore w:val="0"/>
              <w:spacing w:before="15" w:after="30" w:line="240" w:lineRule="auto"/>
              <w:jc w:val="right"/>
            </w:pPr>
            <w:r>
              <w:rPr>
                <w:rFonts w:ascii="Times New Roman" w:eastAsia="Times New Roman" w:hAnsi="Times New Roman" w:cs="Times New Roman"/>
                <w:b/>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66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pageBreakBefore w:val="0"/>
              <w:spacing w:before="15" w:after="30" w:line="240" w:lineRule="auto"/>
              <w:jc w:val="right"/>
            </w:pPr>
            <w:r>
              <w:rPr>
                <w:rFonts w:ascii="Times New Roman" w:eastAsia="Times New Roman" w:hAnsi="Times New Roman" w:cs="Times New Roman"/>
                <w:b/>
                <w:i w:val="0"/>
                <w:color w:val="000000"/>
                <w:sz w:val="18"/>
                <w:u w:val="none"/>
              </w:rPr>
              <w:t> </w:t>
            </w: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headerReference w:type="default" r:id="rId6"/>
          <w:footerReference w:type="default" r:id="rId7"/>
          <w:pgSz w:w="12240" w:h="15840"/>
          <w:pgMar w:top="855" w:right="990" w:bottom="855" w:left="990" w:header="0" w:footer="0"/>
          <w:cols w:space="708"/>
        </w:sectPr>
      </w:pPr>
    </w:p>
    <w:tbl>
      <w:tblPr>
        <w:tblStyle w:val="TableNormal0"/>
        <w:tblW w:w="10260" w:type="dxa"/>
        <w:jc w:val="center"/>
        <w:tblLayout w:type="fixed"/>
      </w:tblPr>
      <w:tblGrid>
        <w:gridCol w:w="7710"/>
        <w:gridCol w:w="75"/>
        <w:gridCol w:w="1200"/>
        <w:gridCol w:w="75"/>
        <w:gridCol w:w="1200"/>
      </w:tblGrid>
      <w:tr>
        <w:tblPrEx>
          <w:tblW w:w="10260" w:type="dxa"/>
          <w:tblLayout w:type="fixed"/>
        </w:tblPrEx>
        <w:trPr>
          <w:trHeight w:hRule="exact" w:val="255"/>
        </w:trPr>
        <w:tc>
          <w:tcPr>
            <w:tcW w:w="10260" w:type="dxa"/>
            <w:gridSpan w:val="5"/>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FIRST GUARANTY BANCSHARES, INC. AND SUBSIDIARY</w:t>
            </w:r>
          </w:p>
        </w:tc>
      </w:tr>
      <w:tr>
        <w:tblPrEx>
          <w:tblW w:w="10260" w:type="dxa"/>
          <w:tblLayout w:type="fixed"/>
        </w:tblPrEx>
        <w:trPr>
          <w:trHeight w:hRule="exact" w:val="255"/>
        </w:trPr>
        <w:tc>
          <w:tcPr>
            <w:tcW w:w="10260" w:type="dxa"/>
            <w:gridSpan w:val="5"/>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CONSOLIDATED STATEMENTS OF INCOME (unaudited)</w:t>
            </w:r>
          </w:p>
        </w:tc>
      </w:tr>
      <w:tr>
        <w:tblPrEx>
          <w:tblW w:w="10260" w:type="dxa"/>
          <w:tblLayout w:type="fixed"/>
        </w:tblPrEx>
        <w:trPr>
          <w:trHeight w:hRule="exact" w:val="480"/>
        </w:trPr>
        <w:tc>
          <w:tcPr>
            <w:tcW w:w="771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47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line="240" w:lineRule="auto"/>
              <w:jc w:val="center"/>
            </w:pPr>
            <w:r>
              <w:rPr>
                <w:rFonts w:ascii="Times New Roman" w:eastAsia="Times New Roman" w:hAnsi="Times New Roman" w:cs="Times New Roman"/>
                <w:b/>
                <w:i w:val="0"/>
                <w:color w:val="000000"/>
                <w:sz w:val="18"/>
                <w:u w:val="none"/>
              </w:rPr>
              <w:t>Three Months Ended</w:t>
            </w:r>
          </w:p>
          <w:p>
            <w:pPr>
              <w:spacing w:after="30" w:line="240" w:lineRule="auto"/>
              <w:jc w:val="center"/>
            </w:pPr>
            <w:r>
              <w:rPr>
                <w:rFonts w:ascii="Times New Roman" w:eastAsia="Times New Roman" w:hAnsi="Times New Roman" w:cs="Times New Roman"/>
                <w:b/>
                <w:i w:val="0"/>
                <w:color w:val="000000"/>
                <w:sz w:val="18"/>
                <w:u w:val="none"/>
              </w:rPr>
              <w:t>March 31,</w:t>
            </w:r>
          </w:p>
        </w:tc>
      </w:tr>
      <w:tr>
        <w:tblPrEx>
          <w:tblW w:w="10260" w:type="dxa"/>
          <w:tblLayout w:type="fixed"/>
        </w:tblPrEx>
        <w:trPr>
          <w:trHeight w:hRule="exact" w:val="255"/>
        </w:trPr>
        <w:tc>
          <w:tcPr>
            <w:tcW w:w="771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18"/>
                <w:u w:val="none"/>
              </w:rPr>
              <w:t>(in thousands, except share data)</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2026</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2025</w:t>
            </w:r>
          </w:p>
        </w:tc>
      </w:tr>
      <w:tr>
        <w:tblPrEx>
          <w:tblW w:w="10260" w:type="dxa"/>
          <w:tblLayout w:type="fixed"/>
        </w:tblPrEx>
        <w:trPr>
          <w:trHeight w:hRule="exact" w:val="255"/>
        </w:trPr>
        <w:tc>
          <w:tcPr>
            <w:tcW w:w="77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Interest Income: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Loans (including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val="0"/>
                <w:i w:val="0"/>
                <w:color w:val="000000"/>
                <w:sz w:val="18"/>
                <w:u w:val="none"/>
              </w:rPr>
              <w:t>$</w:t>
              <w:tab/>
              <w:t>33,279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val="0"/>
                <w:i w:val="0"/>
                <w:color w:val="000000"/>
                <w:sz w:val="18"/>
                <w:u w:val="none"/>
              </w:rPr>
              <w:t>$</w:t>
              <w:tab/>
              <w:t>42,969</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Deposits with other banks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8,637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5,999</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Securities (including FHLB stock)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val="0"/>
                <w:i w:val="0"/>
                <w:color w:val="000000"/>
                <w:sz w:val="18"/>
                <w:u w:val="none"/>
              </w:rPr>
              <w:tab/>
              <w:t>10,359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5,495</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Interest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52,275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54,463</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Interest Expense: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Demand deposits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val="0"/>
                <w:i w:val="0"/>
                <w:color w:val="000000"/>
                <w:sz w:val="18"/>
                <w:u w:val="none"/>
              </w:rPr>
              <w:tab/>
              <w:t>9,610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val="0"/>
                <w:i w:val="0"/>
                <w:color w:val="000000"/>
                <w:sz w:val="18"/>
                <w:u w:val="none"/>
              </w:rPr>
              <w:tab/>
              <w:t>12,204</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Savings deposits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946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1,262</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Time deposits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val="0"/>
                <w:i w:val="0"/>
                <w:color w:val="000000"/>
                <w:sz w:val="18"/>
                <w:u w:val="none"/>
              </w:rPr>
              <w:tab/>
              <w:t>18,599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val="0"/>
                <w:i w:val="0"/>
                <w:color w:val="000000"/>
                <w:sz w:val="18"/>
                <w:u w:val="none"/>
              </w:rPr>
              <w:tab/>
              <w:t>15,890</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Borrowings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2,431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2,884</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31,586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32,240</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Net 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i w:val="0"/>
                <w:color w:val="000000"/>
                <w:sz w:val="18"/>
                <w:u w:val="none"/>
              </w:rPr>
              <w:tab/>
              <w:t>20,689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i w:val="0"/>
                <w:color w:val="000000"/>
                <w:sz w:val="18"/>
                <w:u w:val="none"/>
              </w:rPr>
              <w:tab/>
              <w:t>22,223</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Less: Provision for credit losses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2,625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val="0"/>
                <w:i w:val="0"/>
                <w:color w:val="000000"/>
                <w:sz w:val="18"/>
                <w:u w:val="none"/>
              </w:rPr>
              <w:tab/>
              <w:t>14,548</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Net Interest Income after Provision for Credit Losses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18,064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i w:val="0"/>
                <w:color w:val="000000"/>
                <w:sz w:val="18"/>
                <w:u w:val="none"/>
              </w:rPr>
              <w:tab/>
              <w:t>7,675</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Service charges, commissions and fees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55" w:after="30" w:line="240" w:lineRule="auto"/>
              <w:jc w:val="right"/>
            </w:pPr>
            <w:r>
              <w:rPr>
                <w:rFonts w:ascii="Times New Roman" w:eastAsia="Times New Roman" w:hAnsi="Times New Roman" w:cs="Times New Roman"/>
                <w:b w:val="0"/>
                <w:i w:val="0"/>
                <w:color w:val="000000"/>
                <w:sz w:val="18"/>
                <w:u w:val="none"/>
              </w:rPr>
              <w:tab/>
              <w:t>758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55" w:after="30" w:line="240" w:lineRule="auto"/>
              <w:jc w:val="right"/>
            </w:pPr>
            <w:r>
              <w:rPr>
                <w:rFonts w:ascii="Times New Roman" w:eastAsia="Times New Roman" w:hAnsi="Times New Roman" w:cs="Times New Roman"/>
                <w:b w:val="0"/>
                <w:i w:val="0"/>
                <w:color w:val="000000"/>
                <w:sz w:val="18"/>
                <w:u w:val="none"/>
              </w:rPr>
              <w:tab/>
              <w:t>849</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ATM and debit card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642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747</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Net gains on securities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84"/>
                <w:tab w:val="left" w:pos="1132"/>
              </w:tabs>
              <w:spacing w:before="75" w:after="30" w:line="240" w:lineRule="auto"/>
              <w:jc w:val="right"/>
            </w:pPr>
            <w:r>
              <w:rPr>
                <w:rFonts w:ascii="Times New Roman" w:eastAsia="Times New Roman" w:hAnsi="Times New Roman" w:cs="Times New Roman"/>
                <w:b w:val="0"/>
                <w:i w:val="0"/>
                <w:color w:val="000000"/>
                <w:sz w:val="18"/>
                <w:u w:val="none"/>
              </w:rPr>
              <w:tab/>
              <w:t>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Net gains on sale of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4"/>
                <w:tab w:val="left" w:pos="1132"/>
              </w:tabs>
              <w:spacing w:before="75" w:after="30" w:line="240" w:lineRule="auto"/>
              <w:jc w:val="right"/>
            </w:pPr>
            <w:r>
              <w:rPr>
                <w:rFonts w:ascii="Times New Roman" w:eastAsia="Times New Roman" w:hAnsi="Times New Roman" w:cs="Times New Roman"/>
                <w:b w:val="0"/>
                <w:i w:val="0"/>
                <w:color w:val="000000"/>
                <w:sz w:val="18"/>
                <w:u w:val="none"/>
              </w:rPr>
              <w:tab/>
              <w:t>44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84"/>
                <w:tab w:val="left" w:pos="1132"/>
              </w:tabs>
              <w:spacing w:before="75" w:after="30" w:line="240" w:lineRule="auto"/>
              <w:jc w:val="right"/>
            </w:pPr>
            <w:r>
              <w:rPr>
                <w:rFonts w:ascii="Times New Roman" w:eastAsia="Times New Roman" w:hAnsi="Times New Roman" w:cs="Times New Roman"/>
                <w:b w:val="0"/>
                <w:i w:val="0"/>
                <w:color w:val="000000"/>
                <w:sz w:val="18"/>
                <w:u w:val="none"/>
              </w:rPr>
              <w:tab/>
              <w:t>4</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763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754</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i w:val="0"/>
                <w:color w:val="000000"/>
                <w:sz w:val="18"/>
                <w:u w:val="none"/>
              </w:rPr>
              <w:tab/>
              <w:t>2,208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i w:val="0"/>
                <w:color w:val="000000"/>
                <w:sz w:val="18"/>
                <w:u w:val="none"/>
              </w:rPr>
              <w:tab/>
              <w:t>2,354</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Total Business Revenue, Net of Provision for Credit Losses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i w:val="0"/>
                <w:color w:val="000000"/>
                <w:sz w:val="18"/>
                <w:u w:val="none"/>
              </w:rPr>
              <w:tab/>
              <w:t>20,272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75" w:after="30" w:line="240" w:lineRule="auto"/>
              <w:jc w:val="right"/>
            </w:pPr>
            <w:r>
              <w:rPr>
                <w:rFonts w:ascii="Times New Roman" w:eastAsia="Times New Roman" w:hAnsi="Times New Roman" w:cs="Times New Roman"/>
                <w:b/>
                <w:i w:val="0"/>
                <w:color w:val="000000"/>
                <w:sz w:val="18"/>
                <w:u w:val="none"/>
              </w:rPr>
              <w:tab/>
              <w:t>10,029</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Salaries and employee benefits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val="0"/>
                <w:i w:val="0"/>
                <w:color w:val="000000"/>
                <w:sz w:val="18"/>
                <w:u w:val="none"/>
              </w:rPr>
              <w:tab/>
              <w:t>7,352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val="0"/>
                <w:i w:val="0"/>
                <w:color w:val="000000"/>
                <w:sz w:val="18"/>
                <w:u w:val="none"/>
              </w:rPr>
              <w:tab/>
              <w:t>8,441</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Occupancy and equipment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2,464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2,640</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6,913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val="0"/>
                <w:i w:val="0"/>
                <w:color w:val="000000"/>
                <w:sz w:val="18"/>
                <w:u w:val="none"/>
              </w:rPr>
              <w:tab/>
              <w:t>6,936</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16,729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9"/>
                <w:tab w:val="left" w:pos="1132"/>
              </w:tabs>
              <w:spacing w:before="55" w:after="30" w:line="240" w:lineRule="auto"/>
              <w:jc w:val="right"/>
            </w:pPr>
            <w:r>
              <w:rPr>
                <w:rFonts w:ascii="Times New Roman" w:eastAsia="Times New Roman" w:hAnsi="Times New Roman" w:cs="Times New Roman"/>
                <w:b/>
                <w:i w:val="0"/>
                <w:color w:val="000000"/>
                <w:sz w:val="18"/>
                <w:u w:val="none"/>
              </w:rPr>
              <w:tab/>
              <w:t>18,017</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Income (Loss) Before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75" w:after="30" w:line="240" w:lineRule="auto"/>
              <w:jc w:val="right"/>
            </w:pPr>
            <w:r>
              <w:rPr>
                <w:rFonts w:ascii="Times New Roman" w:eastAsia="Times New Roman" w:hAnsi="Times New Roman" w:cs="Times New Roman"/>
                <w:b/>
                <w:i w:val="0"/>
                <w:color w:val="000000"/>
                <w:sz w:val="18"/>
                <w:u w:val="none"/>
              </w:rPr>
              <w:tab/>
              <w:t>3,543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9"/>
              </w:tabs>
              <w:spacing w:before="75" w:after="30" w:line="240" w:lineRule="auto"/>
              <w:jc w:val="right"/>
            </w:pPr>
            <w:r>
              <w:rPr>
                <w:rFonts w:ascii="Times New Roman" w:eastAsia="Times New Roman" w:hAnsi="Times New Roman" w:cs="Times New Roman"/>
                <w:b/>
                <w:i w:val="0"/>
                <w:color w:val="000000"/>
                <w:sz w:val="18"/>
                <w:u w:val="none"/>
              </w:rPr>
              <w:tab/>
              <w:t>(7,988)</w:t>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Provision (benefit) for income taxes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800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9"/>
              </w:tabs>
              <w:spacing w:before="75" w:after="30" w:line="240" w:lineRule="auto"/>
              <w:jc w:val="right"/>
            </w:pPr>
            <w:r>
              <w:rPr>
                <w:rFonts w:ascii="Times New Roman" w:eastAsia="Times New Roman" w:hAnsi="Times New Roman" w:cs="Times New Roman"/>
                <w:b w:val="0"/>
                <w:i w:val="0"/>
                <w:color w:val="000000"/>
                <w:sz w:val="18"/>
                <w:u w:val="none"/>
              </w:rPr>
              <w:tab/>
              <w:t>(1,822)</w:t>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Net Income (Loss)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i w:val="0"/>
                <w:color w:val="000000"/>
                <w:sz w:val="18"/>
                <w:u w:val="none"/>
              </w:rPr>
              <w:tab/>
              <w:t>2,743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9"/>
              </w:tabs>
              <w:spacing w:before="55" w:after="30" w:line="240" w:lineRule="auto"/>
              <w:jc w:val="right"/>
            </w:pPr>
            <w:r>
              <w:rPr>
                <w:rFonts w:ascii="Times New Roman" w:eastAsia="Times New Roman" w:hAnsi="Times New Roman" w:cs="Times New Roman"/>
                <w:b/>
                <w:i w:val="0"/>
                <w:color w:val="000000"/>
                <w:sz w:val="18"/>
                <w:u w:val="none"/>
              </w:rPr>
              <w:tab/>
              <w:t>(6,166)</w:t>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Less: Preferred stock dividends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582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4"/>
                <w:tab w:val="left" w:pos="1132"/>
              </w:tabs>
              <w:spacing w:before="75" w:after="30" w:line="240" w:lineRule="auto"/>
              <w:jc w:val="right"/>
            </w:pPr>
            <w:r>
              <w:rPr>
                <w:rFonts w:ascii="Times New Roman" w:eastAsia="Times New Roman" w:hAnsi="Times New Roman" w:cs="Times New Roman"/>
                <w:b w:val="0"/>
                <w:i w:val="0"/>
                <w:color w:val="000000"/>
                <w:sz w:val="18"/>
                <w:u w:val="none"/>
              </w:rPr>
              <w:tab/>
              <w:t>582</w:t>
              <w:tab/>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Net Income (Loss) Available to Common Shareholders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69"/>
                <w:tab w:val="left" w:pos="1132"/>
              </w:tabs>
              <w:spacing w:before="55" w:after="30" w:line="240" w:lineRule="auto"/>
              <w:jc w:val="right"/>
            </w:pPr>
            <w:r>
              <w:rPr>
                <w:rFonts w:ascii="Times New Roman" w:eastAsia="Times New Roman" w:hAnsi="Times New Roman" w:cs="Times New Roman"/>
                <w:b/>
                <w:i w:val="0"/>
                <w:color w:val="000000"/>
                <w:sz w:val="18"/>
                <w:u w:val="none"/>
              </w:rPr>
              <w:t>$</w:t>
              <w:tab/>
              <w:t>2,161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89"/>
              </w:tabs>
              <w:spacing w:before="55" w:after="30" w:line="240" w:lineRule="auto"/>
              <w:jc w:val="right"/>
            </w:pPr>
            <w:r>
              <w:rPr>
                <w:rFonts w:ascii="Times New Roman" w:eastAsia="Times New Roman" w:hAnsi="Times New Roman" w:cs="Times New Roman"/>
                <w:b/>
                <w:i w:val="0"/>
                <w:color w:val="000000"/>
                <w:sz w:val="18"/>
                <w:u w:val="none"/>
              </w:rPr>
              <w:t>$</w:t>
              <w:tab/>
              <w:t>(6,748)</w:t>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Per Common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Earnings (Loss)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9"/>
                <w:tab w:val="left" w:pos="1132"/>
              </w:tabs>
              <w:spacing w:before="55" w:after="30" w:line="240" w:lineRule="auto"/>
              <w:jc w:val="right"/>
            </w:pPr>
            <w:r>
              <w:rPr>
                <w:rFonts w:ascii="Times New Roman" w:eastAsia="Times New Roman" w:hAnsi="Times New Roman" w:cs="Times New Roman"/>
                <w:b w:val="0"/>
                <w:i w:val="0"/>
                <w:color w:val="000000"/>
                <w:sz w:val="18"/>
                <w:u w:val="none"/>
              </w:rPr>
              <w:t>$</w:t>
              <w:tab/>
              <w:t>0.14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9"/>
              </w:tabs>
              <w:spacing w:before="55" w:after="30" w:line="240" w:lineRule="auto"/>
              <w:jc w:val="right"/>
            </w:pPr>
            <w:r>
              <w:rPr>
                <w:rFonts w:ascii="Times New Roman" w:eastAsia="Times New Roman" w:hAnsi="Times New Roman" w:cs="Times New Roman"/>
                <w:b w:val="0"/>
                <w:i w:val="0"/>
                <w:color w:val="000000"/>
                <w:sz w:val="18"/>
                <w:u w:val="none"/>
              </w:rPr>
              <w:t>$</w:t>
              <w:tab/>
              <w:t>(0.54)</w:t>
            </w: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Cash dividends paid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9"/>
                <w:tab w:val="left" w:pos="1132"/>
              </w:tabs>
              <w:spacing w:before="75" w:after="30" w:line="240" w:lineRule="auto"/>
              <w:jc w:val="right"/>
            </w:pPr>
            <w:r>
              <w:rPr>
                <w:rFonts w:ascii="Times New Roman" w:eastAsia="Times New Roman" w:hAnsi="Times New Roman" w:cs="Times New Roman"/>
                <w:b w:val="0"/>
                <w:i w:val="0"/>
                <w:color w:val="000000"/>
                <w:sz w:val="18"/>
                <w:u w:val="none"/>
              </w:rPr>
              <w:t>$</w:t>
              <w:tab/>
              <w:t>0.01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9"/>
                <w:tab w:val="left" w:pos="1132"/>
              </w:tabs>
              <w:spacing w:before="75" w:after="30" w:line="240" w:lineRule="auto"/>
              <w:jc w:val="right"/>
            </w:pPr>
            <w:r>
              <w:rPr>
                <w:rFonts w:ascii="Times New Roman" w:eastAsia="Times New Roman" w:hAnsi="Times New Roman" w:cs="Times New Roman"/>
                <w:b w:val="0"/>
                <w:i w:val="0"/>
                <w:color w:val="000000"/>
                <w:sz w:val="18"/>
                <w:u w:val="none"/>
              </w:rPr>
              <w:t>$</w:t>
              <w:tab/>
              <w:t>0.01</w:t>
              <w:tab/>
            </w:r>
          </w:p>
        </w:tc>
      </w:tr>
      <w:tr>
        <w:tblPrEx>
          <w:tblW w:w="10260" w:type="dxa"/>
          <w:tblLayout w:type="fixed"/>
        </w:tblPrEx>
        <w:trPr>
          <w:trHeight w:hRule="exact" w:val="255"/>
        </w:trPr>
        <w:tc>
          <w:tcPr>
            <w:tcW w:w="771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trHeight w:hRule="exact" w:val="255"/>
        </w:trPr>
        <w:tc>
          <w:tcPr>
            <w:tcW w:w="771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Weighted Average Common Shares Outstanding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4"/>
                <w:tab w:val="left" w:pos="1132"/>
              </w:tabs>
              <w:spacing w:before="75" w:after="30" w:line="240" w:lineRule="auto"/>
              <w:jc w:val="right"/>
            </w:pPr>
            <w:r>
              <w:rPr>
                <w:rFonts w:ascii="Times New Roman" w:eastAsia="Times New Roman" w:hAnsi="Times New Roman" w:cs="Times New Roman"/>
                <w:b w:val="0"/>
                <w:i w:val="0"/>
                <w:color w:val="000000"/>
                <w:sz w:val="18"/>
                <w:u w:val="none"/>
              </w:rPr>
              <w:tab/>
              <w:t>15,796,040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64"/>
                <w:tab w:val="left" w:pos="1132"/>
              </w:tabs>
              <w:spacing w:before="75" w:after="30" w:line="240" w:lineRule="auto"/>
              <w:jc w:val="right"/>
            </w:pPr>
            <w:r>
              <w:rPr>
                <w:rFonts w:ascii="Times New Roman" w:eastAsia="Times New Roman" w:hAnsi="Times New Roman" w:cs="Times New Roman"/>
                <w:b w:val="0"/>
                <w:i w:val="0"/>
                <w:color w:val="000000"/>
                <w:sz w:val="18"/>
                <w:u w:val="none"/>
              </w:rPr>
              <w:tab/>
              <w:t>12,506,792</w:t>
              <w:tab/>
            </w:r>
          </w:p>
        </w:tc>
      </w:tr>
      <w:tr>
        <w:tblPrEx>
          <w:tblW w:w="10260" w:type="dxa"/>
          <w:tblLayout w:type="fixed"/>
        </w:tblPrEx>
        <w:trPr>
          <w:trHeight w:hRule="exact" w:val="255"/>
        </w:trPr>
        <w:tc>
          <w:tcPr>
            <w:tcW w:w="7710" w:type="dxa"/>
            <w:tcBorders>
              <w:top w:val="nil"/>
              <w:left w:val="nil"/>
              <w:bottom w:val="nil"/>
              <w:right w:val="nil"/>
            </w:tcBorders>
            <w:tcMar>
              <w:top w:w="0" w:type="dxa"/>
              <w:left w:w="53" w:type="dxa"/>
              <w:bottom w:w="0" w:type="dxa"/>
              <w:right w:w="53" w:type="dxa"/>
            </w:tcMar>
            <w:vAlign w:val="bottom"/>
          </w:tcPr>
          <w:p>
            <w:pPr>
              <w:pageBreakBefore w:val="0"/>
              <w:spacing w:before="75" w:after="30" w:line="240" w:lineRule="auto"/>
              <w:jc w:val="left"/>
            </w:pPr>
            <w:r>
              <w:rPr>
                <w:rFonts w:ascii="Times New Roman" w:eastAsia="Times New Roman" w:hAnsi="Times New Roman" w:cs="Times New Roman"/>
                <w:b w:val="0"/>
                <w:i/>
                <w:color w:val="000000"/>
                <w:sz w:val="18"/>
                <w:u w:val="none"/>
              </w:rPr>
              <w:t>See Notes to Consolidated Financial Statements</w:t>
            </w:r>
          </w:p>
        </w:tc>
        <w:tc>
          <w:tcPr>
            <w:tcW w:w="7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sz w:val="18"/>
          <w:vertAlign w:val="superscript"/>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sz w:val="18"/>
          <w:vertAlign w:val="superscript"/>
        </w:rPr>
        <w:sectPr>
          <w:type w:val="continuous"/>
          <w:pgSz w:w="12240" w:h="15840"/>
          <w:pgMar w:top="855" w:right="990" w:bottom="855" w:left="990" w:header="0" w:footer="0"/>
          <w:cols w:space="708"/>
        </w:sectPr>
      </w:pPr>
    </w:p>
    <w:tbl>
      <w:tblPr>
        <w:tblStyle w:val="TableNormal0"/>
        <w:tblW w:w="10230" w:type="dxa"/>
        <w:jc w:val="center"/>
        <w:tblLayout w:type="fixed"/>
      </w:tblPr>
      <w:tblGrid>
        <w:gridCol w:w="3240"/>
        <w:gridCol w:w="75"/>
        <w:gridCol w:w="1245"/>
        <w:gridCol w:w="75"/>
        <w:gridCol w:w="1005"/>
        <w:gridCol w:w="75"/>
        <w:gridCol w:w="1020"/>
        <w:gridCol w:w="75"/>
        <w:gridCol w:w="1245"/>
        <w:gridCol w:w="75"/>
        <w:gridCol w:w="1005"/>
        <w:gridCol w:w="75"/>
        <w:gridCol w:w="1020"/>
      </w:tblGrid>
      <w:tr>
        <w:tblPrEx>
          <w:tblW w:w="10230" w:type="dxa"/>
          <w:tblLayout w:type="fixed"/>
        </w:tblPrEx>
        <w:trPr>
          <w:trHeight w:hRule="exact" w:val="255"/>
        </w:trPr>
        <w:tc>
          <w:tcPr>
            <w:tcW w:w="10230" w:type="dxa"/>
            <w:gridSpan w:val="13"/>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FIRST GUARANTY BANCSHARES, INC. AND SUBSIDIARY       </w:t>
            </w:r>
          </w:p>
        </w:tc>
      </w:tr>
      <w:tr>
        <w:tblPrEx>
          <w:tblW w:w="10230" w:type="dxa"/>
          <w:tblLayout w:type="fixed"/>
        </w:tblPrEx>
        <w:trPr>
          <w:trHeight w:hRule="exact" w:val="255"/>
        </w:trPr>
        <w:tc>
          <w:tcPr>
            <w:tcW w:w="10230" w:type="dxa"/>
            <w:gridSpan w:val="13"/>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CONSOLIDATED AVERAGE BALANCE SHEETS (unaudited)       </w:t>
            </w:r>
          </w:p>
        </w:tc>
      </w:tr>
      <w:tr>
        <w:tblPrEx>
          <w:tblW w:w="10230" w:type="dxa"/>
          <w:tblLayout w:type="fixed"/>
        </w:tblPrEx>
        <w:trPr>
          <w:trHeight w:hRule="exact" w:val="255"/>
        </w:trPr>
        <w:tc>
          <w:tcPr>
            <w:tcW w:w="32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420" w:type="dxa"/>
            <w:gridSpan w:val="5"/>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420" w:type="dxa"/>
            <w:gridSpan w:val="5"/>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255"/>
        </w:trPr>
        <w:tc>
          <w:tcPr>
            <w:tcW w:w="324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420" w:type="dxa"/>
            <w:gridSpan w:val="5"/>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420" w:type="dxa"/>
            <w:gridSpan w:val="5"/>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March 31, 2025</w:t>
            </w:r>
          </w:p>
        </w:tc>
      </w:tr>
      <w:tr>
        <w:tblPrEx>
          <w:tblW w:w="10230" w:type="dxa"/>
          <w:tblLayout w:type="fixed"/>
        </w:tblPrEx>
        <w:trPr>
          <w:trHeight w:hRule="exact" w:val="465"/>
        </w:trPr>
        <w:tc>
          <w:tcPr>
            <w:tcW w:w="324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18"/>
                <w:u w:val="none"/>
              </w:rPr>
              <w:t>(in thousands except for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Average Balance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Interest</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Yield/Rate (5)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Average Balance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Interest</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Yield/Rate (5)</w:t>
            </w:r>
          </w:p>
        </w:tc>
      </w:tr>
      <w:tr>
        <w:tblPrEx>
          <w:tblW w:w="10230" w:type="dxa"/>
          <w:tblLayout w:type="fixed"/>
        </w:tblPrEx>
        <w:trPr>
          <w:trHeight w:hRule="exact" w:val="255"/>
        </w:trPr>
        <w:tc>
          <w:tcPr>
            <w:tcW w:w="32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Assets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Interest-earning assets: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Interest-earning deposits with banks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w:t>
              <w:tab/>
              <w:t>945,686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w:t>
              <w:tab/>
              <w:t>8,637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3.70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w:t>
              <w:tab/>
              <w:t>547,494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w:t>
              <w:tab/>
              <w:t>5,999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4.44</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Securities (including FHLB stock)</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ab/>
              <w:t>1,104,175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10,359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3.80</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657,607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ab/>
              <w:t>5,495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3.39</w:t>
              <w:tab/>
              <w:t>%</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Federal funds sold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9"/>
                <w:tab w:val="left" w:pos="1177"/>
              </w:tabs>
              <w:spacing w:before="75" w:after="30" w:line="240" w:lineRule="auto"/>
              <w:jc w:val="right"/>
            </w:pPr>
            <w:r>
              <w:rPr>
                <w:rFonts w:ascii="Times New Roman" w:eastAsia="Times New Roman" w:hAnsi="Times New Roman" w:cs="Times New Roman"/>
                <w:b w:val="0"/>
                <w:i w:val="0"/>
                <w:color w:val="000000"/>
                <w:sz w:val="18"/>
                <w:u w:val="none"/>
              </w:rPr>
              <w:tab/>
              <w:t>549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99"/>
                <w:tab w:val="left" w:pos="93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73"/>
              </w:tabs>
              <w:spacing w:before="75" w:after="30" w:line="240" w:lineRule="auto"/>
              <w:jc w:val="right"/>
            </w:pPr>
            <w:r>
              <w:rPr>
                <w:rFonts w:ascii="Times New Roman" w:eastAsia="Times New Roman" w:hAnsi="Times New Roman" w:cs="Times New Roman"/>
                <w:b w:val="0"/>
                <w:i w:val="0"/>
                <w:color w:val="000000"/>
                <w:sz w:val="18"/>
                <w:u w:val="none"/>
              </w:rPr>
              <w:tab/>
              <w:t>—</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49"/>
                <w:tab w:val="left" w:pos="1177"/>
              </w:tabs>
              <w:spacing w:before="75" w:after="30" w:line="240" w:lineRule="auto"/>
              <w:jc w:val="right"/>
            </w:pPr>
            <w:r>
              <w:rPr>
                <w:rFonts w:ascii="Times New Roman" w:eastAsia="Times New Roman" w:hAnsi="Times New Roman" w:cs="Times New Roman"/>
                <w:b w:val="0"/>
                <w:i w:val="0"/>
                <w:color w:val="000000"/>
                <w:sz w:val="18"/>
                <w:u w:val="none"/>
              </w:rPr>
              <w:tab/>
              <w:t>473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99"/>
                <w:tab w:val="left" w:pos="93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73"/>
              </w:tabs>
              <w:spacing w:before="75" w:after="30" w:line="240" w:lineRule="auto"/>
              <w:jc w:val="right"/>
            </w:pPr>
            <w:r>
              <w:rPr>
                <w:rFonts w:ascii="Times New Roman" w:eastAsia="Times New Roman" w:hAnsi="Times New Roman" w:cs="Times New Roman"/>
                <w:b w:val="0"/>
                <w:i w:val="0"/>
                <w:color w:val="000000"/>
                <w:sz w:val="18"/>
                <w:u w:val="none"/>
              </w:rPr>
              <w:tab/>
              <w:t>—</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Loans held for sale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39"/>
                <w:tab w:val="left" w:pos="117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99"/>
                <w:tab w:val="left" w:pos="93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73"/>
              </w:tabs>
              <w:spacing w:before="75" w:after="30" w:line="240" w:lineRule="auto"/>
              <w:jc w:val="right"/>
            </w:pPr>
            <w:r>
              <w:rPr>
                <w:rFonts w:ascii="Times New Roman" w:eastAsia="Times New Roman" w:hAnsi="Times New Roman" w:cs="Times New Roman"/>
                <w:b w:val="0"/>
                <w:i w:val="0"/>
                <w:color w:val="000000"/>
                <w:sz w:val="18"/>
                <w:u w:val="none"/>
              </w:rPr>
              <w:tab/>
              <w:t>—</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77"/>
              </w:tabs>
              <w:spacing w:before="75" w:after="30" w:line="240" w:lineRule="auto"/>
              <w:jc w:val="right"/>
            </w:pPr>
            <w:r>
              <w:rPr>
                <w:rFonts w:ascii="Times New Roman" w:eastAsia="Times New Roman" w:hAnsi="Times New Roman" w:cs="Times New Roman"/>
                <w:b w:val="0"/>
                <w:i w:val="0"/>
                <w:color w:val="000000"/>
                <w:sz w:val="18"/>
                <w:u w:val="none"/>
              </w:rPr>
              <w:tab/>
              <w:t>3,429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99"/>
                <w:tab w:val="left" w:pos="93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73"/>
              </w:tabs>
              <w:spacing w:before="75" w:after="30" w:line="240" w:lineRule="auto"/>
              <w:jc w:val="right"/>
            </w:pPr>
            <w:r>
              <w:rPr>
                <w:rFonts w:ascii="Times New Roman" w:eastAsia="Times New Roman" w:hAnsi="Times New Roman" w:cs="Times New Roman"/>
                <w:b w:val="0"/>
                <w:i w:val="0"/>
                <w:color w:val="000000"/>
                <w:sz w:val="18"/>
                <w:u w:val="none"/>
              </w:rPr>
              <w:tab/>
              <w:t>—</w:t>
              <w:tab/>
              <w:t>%</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Loans, net of unearned income (6)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ab/>
              <w:t>2,008,486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33,279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6.72</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ab/>
              <w:t>2,624,913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42,969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6.64</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interest-earning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ab/>
              <w:t>4,058,896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i w:val="0"/>
                <w:color w:val="000000"/>
                <w:sz w:val="18"/>
                <w:u w:val="none"/>
              </w:rPr>
              <w:t>$</w:t>
              <w:tab/>
              <w:t>52,275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5.22</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ab/>
              <w:t>3,833,916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i w:val="0"/>
                <w:color w:val="000000"/>
                <w:sz w:val="18"/>
                <w:u w:val="none"/>
              </w:rPr>
              <w:t>$</w:t>
              <w:tab/>
              <w:t>54,463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5.76</w:t>
              <w:tab/>
              <w:t>%</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Noninterest-earning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Cash and due from banks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24,032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20,357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Premises and equipment, net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59,004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66,933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48,890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31,553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w:t>
              <w:tab/>
              <w:t>4,190,822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w:t>
              <w:tab/>
              <w:t>3,952,759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255"/>
        </w:trPr>
        <w:tc>
          <w:tcPr>
            <w:tcW w:w="32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Liabilities and Shareholders'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Interest-bearing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Demand deposits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w:t>
              <w:tab/>
              <w:t>1,229,044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w:t>
              <w:tab/>
              <w:t>9,610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3.17</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w:t>
              <w:tab/>
              <w:t>1,373,810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w:t>
              <w:tab/>
              <w:t>12,204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3.60</w:t>
              <w:tab/>
              <w:t>%</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Savings deposits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215,138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9"/>
                <w:tab w:val="left" w:pos="937"/>
              </w:tabs>
              <w:spacing w:before="75" w:after="30" w:line="240" w:lineRule="auto"/>
              <w:jc w:val="right"/>
            </w:pPr>
            <w:r>
              <w:rPr>
                <w:rFonts w:ascii="Times New Roman" w:eastAsia="Times New Roman" w:hAnsi="Times New Roman" w:cs="Times New Roman"/>
                <w:b w:val="0"/>
                <w:i w:val="0"/>
                <w:color w:val="000000"/>
                <w:sz w:val="18"/>
                <w:u w:val="none"/>
              </w:rPr>
              <w:tab/>
              <w:t>946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1.78</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236,905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ab/>
              <w:t>1,262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2.16</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Time deposits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ab/>
              <w:t>1,876,964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18,599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4.02</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75" w:after="30" w:line="240" w:lineRule="auto"/>
              <w:jc w:val="right"/>
            </w:pPr>
            <w:r>
              <w:rPr>
                <w:rFonts w:ascii="Times New Roman" w:eastAsia="Times New Roman" w:hAnsi="Times New Roman" w:cs="Times New Roman"/>
                <w:b w:val="0"/>
                <w:i w:val="0"/>
                <w:color w:val="000000"/>
                <w:sz w:val="18"/>
                <w:u w:val="none"/>
              </w:rPr>
              <w:tab/>
              <w:t>1,441,700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15,890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4.47</w:t>
              <w:tab/>
              <w:t>%</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Borrowings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186,135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ab/>
              <w:t>2,431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5.30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202,026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74"/>
                <w:tab w:val="left" w:pos="937"/>
              </w:tabs>
              <w:spacing w:before="75" w:after="30" w:line="240" w:lineRule="auto"/>
              <w:jc w:val="right"/>
            </w:pPr>
            <w:r>
              <w:rPr>
                <w:rFonts w:ascii="Times New Roman" w:eastAsia="Times New Roman" w:hAnsi="Times New Roman" w:cs="Times New Roman"/>
                <w:b w:val="0"/>
                <w:i w:val="0"/>
                <w:color w:val="000000"/>
                <w:sz w:val="18"/>
                <w:u w:val="none"/>
              </w:rPr>
              <w:tab/>
              <w:t>2,884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5.79</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interest-bearing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ab/>
              <w:t>3,507,281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i w:val="0"/>
                <w:color w:val="000000"/>
                <w:sz w:val="18"/>
                <w:u w:val="none"/>
              </w:rPr>
              <w:t>$</w:t>
              <w:tab/>
              <w:t>31,586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3.65</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ab/>
              <w:t>3,254,441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i w:val="0"/>
                <w:color w:val="000000"/>
                <w:sz w:val="18"/>
                <w:u w:val="none"/>
              </w:rPr>
              <w:t>$</w:t>
              <w:tab/>
              <w:t>32,240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4.02</w:t>
              <w:tab/>
              <w:t>%</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Noninterest-bearing 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Demand deposits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417,608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401,994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38,991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4"/>
                <w:tab w:val="left" w:pos="1177"/>
              </w:tabs>
              <w:spacing w:before="75" w:after="30" w:line="240" w:lineRule="auto"/>
              <w:jc w:val="right"/>
            </w:pPr>
            <w:r>
              <w:rPr>
                <w:rFonts w:ascii="Times New Roman" w:eastAsia="Times New Roman" w:hAnsi="Times New Roman" w:cs="Times New Roman"/>
                <w:b w:val="0"/>
                <w:i w:val="0"/>
                <w:color w:val="000000"/>
                <w:sz w:val="18"/>
                <w:u w:val="none"/>
              </w:rPr>
              <w:tab/>
              <w:t>40,627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ab/>
              <w:t>3,963,880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ab/>
              <w:t>3,697,062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Shareholders'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226,942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34"/>
                <w:tab w:val="left" w:pos="1177"/>
              </w:tabs>
              <w:spacing w:before="75" w:after="30" w:line="240" w:lineRule="auto"/>
              <w:jc w:val="right"/>
            </w:pPr>
            <w:r>
              <w:rPr>
                <w:rFonts w:ascii="Times New Roman" w:eastAsia="Times New Roman" w:hAnsi="Times New Roman" w:cs="Times New Roman"/>
                <w:b w:val="0"/>
                <w:i w:val="0"/>
                <w:color w:val="000000"/>
                <w:sz w:val="18"/>
                <w:u w:val="none"/>
              </w:rPr>
              <w:tab/>
              <w:t>255,697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46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Liabilities and Shareholders'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w:t>
              <w:tab/>
              <w:t>4,190,822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77"/>
              </w:tabs>
              <w:spacing w:before="55" w:after="30" w:line="240" w:lineRule="auto"/>
              <w:jc w:val="right"/>
            </w:pPr>
            <w:r>
              <w:rPr>
                <w:rFonts w:ascii="Times New Roman" w:eastAsia="Times New Roman" w:hAnsi="Times New Roman" w:cs="Times New Roman"/>
                <w:b/>
                <w:i w:val="0"/>
                <w:color w:val="000000"/>
                <w:sz w:val="18"/>
                <w:u w:val="none"/>
              </w:rPr>
              <w:t>$</w:t>
              <w:tab/>
              <w:t>3,952,759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i w:val="0"/>
                <w:color w:val="000000"/>
                <w:sz w:val="18"/>
                <w:u w:val="none"/>
              </w:rPr>
              <w:t>Net interest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15" w:after="30" w:line="240" w:lineRule="auto"/>
              <w:jc w:val="right"/>
            </w:pPr>
            <w:r>
              <w:rPr>
                <w:rFonts w:ascii="Times New Roman" w:eastAsia="Times New Roman" w:hAnsi="Times New Roman" w:cs="Times New Roman"/>
                <w:b/>
                <w:i w:val="0"/>
                <w:color w:val="000000"/>
                <w:sz w:val="18"/>
                <w:u w:val="none"/>
              </w:rPr>
              <w:t>$</w:t>
              <w:tab/>
              <w:t>20,689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15" w:after="30" w:line="240" w:lineRule="auto"/>
              <w:jc w:val="right"/>
            </w:pPr>
            <w:r>
              <w:rPr>
                <w:rFonts w:ascii="Times New Roman" w:eastAsia="Times New Roman" w:hAnsi="Times New Roman" w:cs="Times New Roman"/>
                <w:b/>
                <w:i w:val="0"/>
                <w:color w:val="000000"/>
                <w:sz w:val="18"/>
                <w:u w:val="none"/>
              </w:rPr>
              <w:t>$</w:t>
              <w:tab/>
              <w:t>22,223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1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Net interest rate spread (1)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1.57</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1.74</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Net interest-earning assets (2)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34"/>
                <w:tab w:val="left" w:pos="1177"/>
              </w:tabs>
              <w:spacing w:before="55" w:after="30" w:line="240" w:lineRule="auto"/>
              <w:jc w:val="right"/>
            </w:pPr>
            <w:r>
              <w:rPr>
                <w:rFonts w:ascii="Times New Roman" w:eastAsia="Times New Roman" w:hAnsi="Times New Roman" w:cs="Times New Roman"/>
                <w:b/>
                <w:i w:val="0"/>
                <w:color w:val="000000"/>
                <w:sz w:val="18"/>
                <w:u w:val="none"/>
              </w:rPr>
              <w:t>$</w:t>
              <w:tab/>
              <w:t>551,615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34"/>
                <w:tab w:val="left" w:pos="1177"/>
              </w:tabs>
              <w:spacing w:before="55" w:after="30" w:line="240" w:lineRule="auto"/>
              <w:jc w:val="right"/>
            </w:pPr>
            <w:r>
              <w:rPr>
                <w:rFonts w:ascii="Times New Roman" w:eastAsia="Times New Roman" w:hAnsi="Times New Roman" w:cs="Times New Roman"/>
                <w:b/>
                <w:i w:val="0"/>
                <w:color w:val="000000"/>
                <w:sz w:val="18"/>
                <w:u w:val="none"/>
              </w:rPr>
              <w:t>$</w:t>
              <w:tab/>
              <w:t>579,475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r>
      <w:tr>
        <w:tblPrEx>
          <w:tblW w:w="10230" w:type="dxa"/>
          <w:tblLayout w:type="fixed"/>
        </w:tblPrEx>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Net interest margin (3), (4)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2.07</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2.35</w:t>
              <w:tab/>
              <w:t>%</w:t>
            </w:r>
          </w:p>
        </w:tc>
      </w:tr>
      <w:tr>
        <w:tblPrEx>
          <w:tblW w:w="10230" w:type="dxa"/>
          <w:tblLayout w:type="fixed"/>
        </w:tblPrEx>
        <w:trPr>
          <w:trHeight w:hRule="exact" w:val="255"/>
        </w:trPr>
        <w:tc>
          <w:tcPr>
            <w:tcW w:w="32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30" w:type="dxa"/>
          <w:tblLayout w:type="fixed"/>
        </w:tblPrEx>
        <w:trPr>
          <w:trHeight w:hRule="exact" w:val="46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Times New Roman" w:eastAsia="Times New Roman" w:hAnsi="Times New Roman" w:cs="Times New Roman"/>
                <w:b/>
                <w:i w:val="0"/>
                <w:color w:val="000000"/>
                <w:sz w:val="18"/>
                <w:u w:val="none"/>
              </w:rPr>
              <w:t>Average interest-earning assets to interest-bearing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7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558"/>
              </w:tabs>
              <w:spacing w:before="75" w:after="30" w:line="240" w:lineRule="auto"/>
              <w:jc w:val="right"/>
            </w:pPr>
            <w:r>
              <w:rPr>
                <w:rFonts w:ascii="Times New Roman" w:eastAsia="Times New Roman" w:hAnsi="Times New Roman" w:cs="Times New Roman"/>
                <w:b/>
                <w:i w:val="0"/>
                <w:color w:val="000000"/>
                <w:sz w:val="18"/>
                <w:u w:val="none"/>
              </w:rPr>
              <w:tab/>
              <w:t>115.73</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558"/>
              </w:tabs>
              <w:spacing w:before="75" w:after="30" w:line="240" w:lineRule="auto"/>
              <w:jc w:val="right"/>
            </w:pPr>
            <w:r>
              <w:rPr>
                <w:rFonts w:ascii="Times New Roman" w:eastAsia="Times New Roman" w:hAnsi="Times New Roman" w:cs="Times New Roman"/>
                <w:b/>
                <w:i w:val="0"/>
                <w:color w:val="000000"/>
                <w:sz w:val="18"/>
                <w:u w:val="none"/>
              </w:rPr>
              <w:tab/>
              <w:t>117.81</w:t>
              <w:tab/>
              <w:t>%</w:t>
            </w:r>
          </w:p>
        </w:tc>
      </w:tr>
    </w:tbl>
    <w:p>
      <w:pPr>
        <w:keepNext w:val="0"/>
        <w:keepLines w:val="0"/>
        <w:pageBreakBefore w:val="0"/>
        <w:widowControl/>
        <w:numPr>
          <w:ilvl w:val="0"/>
          <w:numId w:val="37"/>
        </w:numPr>
        <w:spacing w:before="0" w:after="0" w:line="288" w:lineRule="auto"/>
        <w:ind w:left="405" w:right="0" w:hanging="360"/>
        <w:jc w:val="lef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Net interest rate spread represents the difference between the yield on average interest-earning assets and the cost of average interest-bearing liabilities.</w:t>
      </w:r>
    </w:p>
    <w:p>
      <w:pPr>
        <w:keepNext w:val="0"/>
        <w:keepLines w:val="0"/>
        <w:pageBreakBefore w:val="0"/>
        <w:widowControl/>
        <w:numPr>
          <w:ilvl w:val="0"/>
          <w:numId w:val="37"/>
        </w:numPr>
        <w:spacing w:before="0" w:after="0" w:line="288" w:lineRule="auto"/>
        <w:ind w:left="405" w:right="0" w:hanging="36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Net interest-earning assets represents total interest-earning assets less total interest-bearing liabilities.</w:t>
      </w:r>
    </w:p>
    <w:p>
      <w:pPr>
        <w:keepNext w:val="0"/>
        <w:keepLines w:val="0"/>
        <w:pageBreakBefore w:val="0"/>
        <w:widowControl/>
        <w:numPr>
          <w:ilvl w:val="0"/>
          <w:numId w:val="37"/>
        </w:numPr>
        <w:spacing w:before="0" w:after="0" w:line="288" w:lineRule="auto"/>
        <w:ind w:left="405" w:right="0" w:hanging="36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Net interest margin represents net interest income divided by average total interest-earning assets.</w:t>
      </w:r>
    </w:p>
    <w:p>
      <w:pPr>
        <w:keepNext w:val="0"/>
        <w:keepLines w:val="0"/>
        <w:pageBreakBefore w:val="0"/>
        <w:widowControl/>
        <w:numPr>
          <w:ilvl w:val="0"/>
          <w:numId w:val="37"/>
        </w:numPr>
        <w:spacing w:before="0" w:after="0" w:line="288" w:lineRule="auto"/>
        <w:ind w:left="405" w:right="0" w:hanging="36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The tax adjusted net interest margin was </w:t>
      </w:r>
      <w:r>
        <w:rPr>
          <w:rFonts w:ascii="Times New Roman" w:eastAsia="Times New Roman" w:hAnsi="Times New Roman" w:cs="Times New Roman"/>
          <w:b w:val="0"/>
          <w:i w:val="0"/>
          <w:color w:val="000000"/>
          <w:sz w:val="18"/>
          <w:u w:val="none"/>
        </w:rPr>
        <w:t>2.08%</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2.36%</w:t>
      </w:r>
      <w:r>
        <w:rPr>
          <w:rFonts w:ascii="Times New Roman" w:eastAsia="Times New Roman" w:hAnsi="Times New Roman" w:cs="Times New Roman"/>
          <w:b w:val="0"/>
          <w:i w:val="0"/>
          <w:sz w:val="18"/>
        </w:rPr>
        <w:t xml:space="preserve"> for the above periods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respectively. A 21% tax rate was used to calculate the effect on securities income from tax exempt securities for the above periods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respectively.</w:t>
      </w:r>
    </w:p>
    <w:p>
      <w:pPr>
        <w:keepNext w:val="0"/>
        <w:keepLines w:val="0"/>
        <w:pageBreakBefore w:val="0"/>
        <w:widowControl/>
        <w:numPr>
          <w:ilvl w:val="0"/>
          <w:numId w:val="37"/>
        </w:numPr>
        <w:spacing w:before="0" w:after="0" w:line="288" w:lineRule="auto"/>
        <w:ind w:left="405" w:right="0" w:hanging="36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Annualized.</w:t>
      </w:r>
    </w:p>
    <w:p>
      <w:pPr>
        <w:keepNext w:val="0"/>
        <w:keepLines w:val="0"/>
        <w:pageBreakBefore w:val="0"/>
        <w:widowControl/>
        <w:numPr>
          <w:ilvl w:val="0"/>
          <w:numId w:val="37"/>
        </w:numPr>
        <w:spacing w:before="0" w:after="0" w:line="288" w:lineRule="auto"/>
        <w:ind w:left="405" w:right="0" w:hanging="36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Includes loan fees of $</w:t>
      </w:r>
      <w:r>
        <w:rPr>
          <w:rFonts w:ascii="Times New Roman" w:eastAsia="Times New Roman" w:hAnsi="Times New Roman" w:cs="Times New Roman"/>
          <w:b w:val="0"/>
          <w:i w:val="0"/>
          <w:sz w:val="18"/>
        </w:rPr>
        <w:t>1.5</w:t>
      </w:r>
      <w:r>
        <w:rPr>
          <w:rFonts w:ascii="Times New Roman" w:eastAsia="Times New Roman" w:hAnsi="Times New Roman" w:cs="Times New Roman"/>
          <w:b w:val="0"/>
          <w:i w:val="0"/>
          <w:sz w:val="18"/>
        </w:rPr>
        <w:t xml:space="preserve"> million and $</w:t>
      </w:r>
      <w:r>
        <w:rPr>
          <w:rFonts w:ascii="Times New Roman" w:eastAsia="Times New Roman" w:hAnsi="Times New Roman" w:cs="Times New Roman"/>
          <w:b w:val="0"/>
          <w:i w:val="0"/>
          <w:sz w:val="18"/>
        </w:rPr>
        <w:t>1.6</w:t>
      </w:r>
      <w:r>
        <w:rPr>
          <w:rFonts w:ascii="Times New Roman" w:eastAsia="Times New Roman" w:hAnsi="Times New Roman" w:cs="Times New Roman"/>
          <w:b w:val="0"/>
          <w:i w:val="0"/>
          <w:sz w:val="18"/>
        </w:rPr>
        <w:t xml:space="preserve"> million for the</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color w:val="000000"/>
          <w:sz w:val="18"/>
          <w:u w:val="none"/>
        </w:rPr>
        <w:t>three</w:t>
      </w:r>
      <w:r>
        <w:rPr>
          <w:rFonts w:ascii="Times New Roman" w:eastAsia="Times New Roman" w:hAnsi="Times New Roman" w:cs="Times New Roman"/>
          <w:b w:val="0"/>
          <w:i w:val="0"/>
          <w:sz w:val="18"/>
        </w:rPr>
        <w:t xml:space="preserve"> </w:t>
      </w:r>
      <w:r>
        <w:rPr>
          <w:rFonts w:ascii="Times New Roman" w:eastAsia="Times New Roman" w:hAnsi="Times New Roman" w:cs="Times New Roman"/>
          <w:b w:val="0"/>
          <w:i w:val="0"/>
          <w:sz w:val="18"/>
        </w:rPr>
        <w:t xml:space="preserve">months ended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and </w:t>
      </w:r>
      <w:r>
        <w:rPr>
          <w:rFonts w:ascii="Times New Roman" w:eastAsia="Times New Roman" w:hAnsi="Times New Roman" w:cs="Times New Roman"/>
          <w:b w:val="0"/>
          <w:i w:val="0"/>
          <w:color w:val="000000"/>
          <w:sz w:val="18"/>
          <w:u w:val="none"/>
        </w:rPr>
        <w:t>2025</w:t>
      </w:r>
      <w:r>
        <w:rPr>
          <w:rFonts w:ascii="Times New Roman" w:eastAsia="Times New Roman" w:hAnsi="Times New Roman" w:cs="Times New Roman"/>
          <w:b w:val="0"/>
          <w:i w:val="0"/>
          <w:sz w:val="18"/>
        </w:rPr>
        <w:t xml:space="preserve"> respectively. </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sectPr>
          <w:pgSz w:w="12240" w:h="15840"/>
          <w:pgMar w:top="855" w:right="990" w:bottom="855" w:left="990" w:header="0" w:footer="0"/>
          <w:cols w:space="708"/>
        </w:sectPr>
      </w:pP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8"/>
        </w:rPr>
      </w:pPr>
      <w:bookmarkStart w:id="1" w:name="Section5"/>
      <w:bookmarkEnd w:id="1"/>
    </w:p>
    <w:p>
      <w:pPr>
        <w:keepNext w:val="0"/>
        <w:keepLines w:val="0"/>
        <w:pageBreakBefore w:val="0"/>
        <w:widowControl/>
        <w:numPr>
          <w:ilvl w:val="0"/>
          <w:numId w:val="0"/>
        </w:numPr>
        <w:spacing w:before="0" w:after="0" w:line="288" w:lineRule="auto"/>
        <w:ind w:left="0" w:right="0" w:firstLine="0"/>
        <w:jc w:val="both"/>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The following table summarizes the components of First Guaranty's loan portfolio as of </w:t>
      </w:r>
      <w:r>
        <w:rPr>
          <w:rFonts w:ascii="Times New Roman" w:eastAsia="Times New Roman" w:hAnsi="Times New Roman" w:cs="Times New Roman"/>
          <w:b w:val="0"/>
          <w:i w:val="0"/>
          <w:sz w:val="18"/>
        </w:rPr>
        <w:t>March 31, 2026, De</w:t>
      </w:r>
      <w:r>
        <w:rPr>
          <w:rFonts w:ascii="Times New Roman" w:eastAsia="Times New Roman" w:hAnsi="Times New Roman" w:cs="Times New Roman"/>
          <w:b w:val="0"/>
          <w:i w:val="0"/>
          <w:sz w:val="18"/>
        </w:rPr>
        <w:t xml:space="preserve">cember 31, 2025, </w:t>
      </w:r>
      <w:r>
        <w:rPr>
          <w:rFonts w:ascii="Times New Roman" w:eastAsia="Times New Roman" w:hAnsi="Times New Roman" w:cs="Times New Roman"/>
          <w:b w:val="0"/>
          <w:i w:val="0"/>
          <w:sz w:val="18"/>
        </w:rPr>
        <w:t xml:space="preserve">September 30, 2025, </w:t>
      </w:r>
      <w:r>
        <w:rPr>
          <w:rFonts w:ascii="Times New Roman" w:eastAsia="Times New Roman" w:hAnsi="Times New Roman" w:cs="Times New Roman"/>
          <w:b w:val="0"/>
          <w:i w:val="0"/>
          <w:sz w:val="18"/>
        </w:rPr>
        <w:t xml:space="preserve">and </w:t>
      </w:r>
      <w:r>
        <w:rPr>
          <w:rFonts w:ascii="Times New Roman" w:eastAsia="Times New Roman" w:hAnsi="Times New Roman" w:cs="Times New Roman"/>
          <w:b w:val="0"/>
          <w:i w:val="0"/>
          <w:sz w:val="18"/>
        </w:rPr>
        <w:t>June 30, 2025</w:t>
      </w:r>
      <w:r>
        <w:rPr>
          <w:rFonts w:ascii="Times New Roman" w:eastAsia="Times New Roman" w:hAnsi="Times New Roman" w:cs="Times New Roman"/>
          <w:b w:val="0"/>
          <w:i w:val="0"/>
          <w:sz w:val="18"/>
        </w:rPr>
        <w:t xml:space="preserve">: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p>
    <w:tbl>
      <w:tblPr>
        <w:tblStyle w:val="TableNormal0"/>
        <w:tblW w:w="10215" w:type="dxa"/>
        <w:tblInd w:w="0" w:type="dxa"/>
        <w:tblLayout w:type="fixed"/>
      </w:tblPr>
      <w:tblGrid>
        <w:gridCol w:w="1995"/>
        <w:gridCol w:w="75"/>
        <w:gridCol w:w="1005"/>
        <w:gridCol w:w="75"/>
        <w:gridCol w:w="900"/>
        <w:gridCol w:w="75"/>
        <w:gridCol w:w="1005"/>
        <w:gridCol w:w="75"/>
        <w:gridCol w:w="900"/>
        <w:gridCol w:w="75"/>
        <w:gridCol w:w="1005"/>
        <w:gridCol w:w="75"/>
        <w:gridCol w:w="900"/>
        <w:gridCol w:w="75"/>
        <w:gridCol w:w="1005"/>
        <w:gridCol w:w="75"/>
        <w:gridCol w:w="900"/>
      </w:tblGrid>
      <w:tr>
        <w:tblPrEx>
          <w:tblW w:w="10215" w:type="dxa"/>
          <w:tblInd w:w="0" w:type="dxa"/>
          <w:tblLayout w:type="fixed"/>
        </w:tblPrEx>
        <w:trPr>
          <w:trHeight w:hRule="exact" w:val="255"/>
        </w:trPr>
        <w:tc>
          <w:tcPr>
            <w:tcW w:w="19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8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8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December 31, 2025</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75" w:after="30" w:line="240" w:lineRule="auto"/>
              <w:jc w:val="left"/>
            </w:pPr>
          </w:p>
        </w:tc>
        <w:tc>
          <w:tcPr>
            <w:tcW w:w="198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September 30, 2025</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75" w:after="30" w:line="240" w:lineRule="auto"/>
              <w:jc w:val="left"/>
            </w:pPr>
          </w:p>
        </w:tc>
        <w:tc>
          <w:tcPr>
            <w:tcW w:w="198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June 30, 2025</w:t>
            </w:r>
          </w:p>
        </w:tc>
      </w:tr>
      <w:tr>
        <w:tblPrEx>
          <w:tblW w:w="10215" w:type="dxa"/>
          <w:tblInd w:w="0" w:type="dxa"/>
          <w:tblLayout w:type="fixed"/>
        </w:tblPrEx>
        <w:trPr>
          <w:trHeight w:hRule="exact" w:val="465"/>
        </w:trPr>
        <w:tc>
          <w:tcPr>
            <w:tcW w:w="19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18"/>
                <w:u w:val="none"/>
              </w:rPr>
              <w:t>(in thousands except for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As % of Category</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As % of Category</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As % of Category</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As % of Category</w:t>
            </w:r>
          </w:p>
        </w:tc>
      </w:tr>
      <w:tr>
        <w:tblPrEx>
          <w:tblW w:w="10215" w:type="dxa"/>
          <w:tblInd w:w="0" w:type="dxa"/>
          <w:tblLayout w:type="fixed"/>
        </w:tblPrEx>
        <w:trPr>
          <w:trHeight w:hRule="exact" w:val="255"/>
        </w:trPr>
        <w:tc>
          <w:tcPr>
            <w:tcW w:w="19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Real Estate: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r>
      <w:tr>
        <w:tblPrEx>
          <w:tblW w:w="10215" w:type="dxa"/>
          <w:tblInd w:w="0" w:type="dxa"/>
          <w:tblLayout w:type="fixed"/>
        </w:tblPrEx>
        <w:trPr>
          <w:trHeight w:hRule="exact" w:val="465"/>
        </w:trPr>
        <w:tc>
          <w:tcPr>
            <w:tcW w:w="19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Construction &amp; land development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val="0"/>
                <w:i w:val="0"/>
                <w:color w:val="000000"/>
                <w:sz w:val="18"/>
                <w:u w:val="none"/>
              </w:rPr>
              <w:t>$</w:t>
              <w:tab/>
              <w:t>109,758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55" w:after="30" w:line="240" w:lineRule="auto"/>
              <w:jc w:val="right"/>
            </w:pPr>
            <w:r>
              <w:rPr>
                <w:rFonts w:ascii="Times New Roman" w:eastAsia="Times New Roman" w:hAnsi="Times New Roman" w:cs="Times New Roman"/>
                <w:b w:val="0"/>
                <w:i w:val="0"/>
                <w:color w:val="000000"/>
                <w:sz w:val="18"/>
                <w:u w:val="none"/>
              </w:rPr>
              <w:tab/>
              <w:t>5.7</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val="0"/>
                <w:i w:val="0"/>
                <w:color w:val="000000"/>
                <w:sz w:val="18"/>
                <w:u w:val="none"/>
              </w:rPr>
              <w:t>$</w:t>
              <w:tab/>
              <w:t>149,493</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55" w:after="30" w:line="240" w:lineRule="auto"/>
              <w:jc w:val="right"/>
            </w:pPr>
            <w:r>
              <w:rPr>
                <w:rFonts w:ascii="Times New Roman" w:eastAsia="Times New Roman" w:hAnsi="Times New Roman" w:cs="Times New Roman"/>
                <w:b w:val="0"/>
                <w:i w:val="0"/>
                <w:color w:val="000000"/>
                <w:sz w:val="18"/>
                <w:u w:val="none"/>
              </w:rPr>
              <w:tab/>
              <w:t>7.2</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val="0"/>
                <w:i w:val="0"/>
                <w:color w:val="000000"/>
                <w:sz w:val="18"/>
                <w:u w:val="none"/>
              </w:rPr>
              <w:t>$</w:t>
              <w:tab/>
              <w:t>231,156</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55" w:after="30" w:line="240" w:lineRule="auto"/>
              <w:jc w:val="right"/>
            </w:pPr>
            <w:r>
              <w:rPr>
                <w:rFonts w:ascii="Times New Roman" w:eastAsia="Times New Roman" w:hAnsi="Times New Roman" w:cs="Times New Roman"/>
                <w:b w:val="0"/>
                <w:i w:val="0"/>
                <w:color w:val="000000"/>
                <w:sz w:val="18"/>
                <w:u w:val="none"/>
              </w:rPr>
              <w:tab/>
              <w:t>10.1</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val="0"/>
                <w:i w:val="0"/>
                <w:color w:val="000000"/>
                <w:sz w:val="18"/>
                <w:u w:val="none"/>
              </w:rPr>
              <w:t>$</w:t>
              <w:tab/>
              <w:t>268,828</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55" w:after="30" w:line="240" w:lineRule="auto"/>
              <w:jc w:val="right"/>
            </w:pPr>
            <w:r>
              <w:rPr>
                <w:rFonts w:ascii="Times New Roman" w:eastAsia="Times New Roman" w:hAnsi="Times New Roman" w:cs="Times New Roman"/>
                <w:b w:val="0"/>
                <w:i w:val="0"/>
                <w:color w:val="000000"/>
                <w:sz w:val="18"/>
                <w:u w:val="none"/>
              </w:rPr>
              <w:tab/>
              <w:t>11.1</w:t>
              <w:tab/>
              <w:t>%</w:t>
            </w:r>
          </w:p>
        </w:tc>
      </w:tr>
      <w:tr>
        <w:tblPrEx>
          <w:tblW w:w="10215" w:type="dxa"/>
          <w:tblInd w:w="0" w:type="dxa"/>
          <w:tblLayout w:type="fixed"/>
        </w:tblPrEx>
        <w:trPr>
          <w:trHeight w:hRule="exact" w:val="255"/>
        </w:trPr>
        <w:tc>
          <w:tcPr>
            <w:tcW w:w="1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Farmland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31,377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1.6</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32,160</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1.5</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31,685</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1.4</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32,267</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1.3</w:t>
              <w:tab/>
              <w:t>%</w:t>
            </w:r>
          </w:p>
        </w:tc>
      </w:tr>
      <w:tr>
        <w:tblPrEx>
          <w:tblW w:w="10215" w:type="dxa"/>
          <w:tblInd w:w="0" w:type="dxa"/>
          <w:tblLayout w:type="fixed"/>
        </w:tblPrEx>
        <w:trPr>
          <w:trHeight w:hRule="exact" w:val="255"/>
        </w:trPr>
        <w:tc>
          <w:tcPr>
            <w:tcW w:w="1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1- 4 Family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427,518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22.2</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428,773</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20.7</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441,017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19.3</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440,465</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18.2</w:t>
              <w:tab/>
              <w:t>%</w:t>
            </w:r>
          </w:p>
        </w:tc>
      </w:tr>
      <w:tr>
        <w:tblPrEx>
          <w:tblW w:w="10215" w:type="dxa"/>
          <w:tblInd w:w="0" w:type="dxa"/>
          <w:tblLayout w:type="fixed"/>
        </w:tblPrEx>
        <w:trPr>
          <w:trHeight w:hRule="exact" w:val="255"/>
        </w:trPr>
        <w:tc>
          <w:tcPr>
            <w:tcW w:w="1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Multifamily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127,973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6.6</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144,235</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6.9</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137,582</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6.0</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144,864</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6.0</w:t>
              <w:tab/>
              <w:t>%</w:t>
            </w:r>
          </w:p>
        </w:tc>
      </w:tr>
      <w:tr>
        <w:tblPrEx>
          <w:tblW w:w="10215" w:type="dxa"/>
          <w:tblInd w:w="0" w:type="dxa"/>
          <w:tblLayout w:type="fixed"/>
        </w:tblPrEx>
        <w:trPr>
          <w:trHeight w:hRule="exact" w:val="285"/>
        </w:trPr>
        <w:tc>
          <w:tcPr>
            <w:tcW w:w="1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Non-farm non-residential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879,022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45.5</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948,536</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45.7</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59"/>
                <w:tab w:val="left" w:pos="937"/>
              </w:tabs>
              <w:spacing w:before="75" w:after="30" w:line="240" w:lineRule="auto"/>
              <w:jc w:val="right"/>
            </w:pPr>
            <w:r>
              <w:rPr>
                <w:rFonts w:ascii="Times New Roman" w:eastAsia="Times New Roman" w:hAnsi="Times New Roman" w:cs="Times New Roman"/>
                <w:b w:val="0"/>
                <w:i w:val="0"/>
                <w:color w:val="000000"/>
                <w:sz w:val="18"/>
                <w:u w:val="none"/>
              </w:rPr>
              <w:tab/>
              <w:t>1,003,198</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43.9</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59"/>
                <w:tab w:val="left" w:pos="937"/>
              </w:tabs>
              <w:spacing w:before="75" w:after="30" w:line="240" w:lineRule="auto"/>
              <w:jc w:val="right"/>
            </w:pPr>
            <w:r>
              <w:rPr>
                <w:rFonts w:ascii="Times New Roman" w:eastAsia="Times New Roman" w:hAnsi="Times New Roman" w:cs="Times New Roman"/>
                <w:b w:val="0"/>
                <w:i w:val="0"/>
                <w:color w:val="000000"/>
                <w:sz w:val="18"/>
                <w:u w:val="none"/>
              </w:rPr>
              <w:tab/>
              <w:t>1,052,503</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43.5</w:t>
              <w:tab/>
              <w:t>%</w:t>
            </w:r>
          </w:p>
        </w:tc>
      </w:tr>
      <w:tr>
        <w:tblPrEx>
          <w:tblW w:w="10215" w:type="dxa"/>
          <w:tblInd w:w="0" w:type="dxa"/>
          <w:tblLayout w:type="fixed"/>
        </w:tblPrEx>
        <w:trPr>
          <w:trHeight w:hRule="exact" w:val="255"/>
        </w:trPr>
        <w:tc>
          <w:tcPr>
            <w:tcW w:w="1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1,575,648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81.6</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1,703,197</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82.0</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1,844,638</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80.7</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1,938,927</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80.1</w:t>
              <w:tab/>
              <w:t>%</w:t>
            </w:r>
          </w:p>
        </w:tc>
      </w:tr>
      <w:tr>
        <w:tblPrEx>
          <w:tblW w:w="10215" w:type="dxa"/>
          <w:tblInd w:w="0" w:type="dxa"/>
          <w:tblLayout w:type="fixed"/>
        </w:tblPrEx>
        <w:trPr>
          <w:trHeight w:hRule="exact" w:val="255"/>
        </w:trPr>
        <w:tc>
          <w:tcPr>
            <w:tcW w:w="199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Non-Real Estate: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r>
      <w:tr>
        <w:tblPrEx>
          <w:tblW w:w="10215" w:type="dxa"/>
          <w:tblInd w:w="0" w:type="dxa"/>
          <w:tblLayout w:type="fixed"/>
        </w:tblPrEx>
        <w:trPr>
          <w:trHeight w:hRule="exact" w:val="255"/>
        </w:trPr>
        <w:tc>
          <w:tcPr>
            <w:tcW w:w="19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Agricultural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val="0"/>
                <w:i w:val="0"/>
                <w:color w:val="000000"/>
                <w:sz w:val="18"/>
                <w:u w:val="none"/>
              </w:rPr>
              <w:tab/>
              <w:t>37,899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55" w:after="30" w:line="240" w:lineRule="auto"/>
              <w:jc w:val="right"/>
            </w:pPr>
            <w:r>
              <w:rPr>
                <w:rFonts w:ascii="Times New Roman" w:eastAsia="Times New Roman" w:hAnsi="Times New Roman" w:cs="Times New Roman"/>
                <w:b w:val="0"/>
                <w:i w:val="0"/>
                <w:color w:val="000000"/>
                <w:sz w:val="18"/>
                <w:u w:val="none"/>
              </w:rPr>
              <w:tab/>
              <w:t>2.0</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val="0"/>
                <w:i w:val="0"/>
                <w:color w:val="000000"/>
                <w:sz w:val="18"/>
                <w:u w:val="none"/>
              </w:rPr>
              <w:tab/>
              <w:t>35,244</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55" w:after="30" w:line="240" w:lineRule="auto"/>
              <w:jc w:val="right"/>
            </w:pPr>
            <w:r>
              <w:rPr>
                <w:rFonts w:ascii="Times New Roman" w:eastAsia="Times New Roman" w:hAnsi="Times New Roman" w:cs="Times New Roman"/>
                <w:b w:val="0"/>
                <w:i w:val="0"/>
                <w:color w:val="000000"/>
                <w:sz w:val="18"/>
                <w:u w:val="none"/>
              </w:rPr>
              <w:tab/>
              <w:t>1.7</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val="0"/>
                <w:i w:val="0"/>
                <w:color w:val="000000"/>
                <w:sz w:val="18"/>
                <w:u w:val="none"/>
              </w:rPr>
              <w:tab/>
              <w:t>44,737</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55" w:after="30" w:line="240" w:lineRule="auto"/>
              <w:jc w:val="right"/>
            </w:pPr>
            <w:r>
              <w:rPr>
                <w:rFonts w:ascii="Times New Roman" w:eastAsia="Times New Roman" w:hAnsi="Times New Roman" w:cs="Times New Roman"/>
                <w:b w:val="0"/>
                <w:i w:val="0"/>
                <w:color w:val="000000"/>
                <w:sz w:val="18"/>
                <w:u w:val="none"/>
              </w:rPr>
              <w:tab/>
              <w:t>2.0</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55" w:after="30" w:line="240" w:lineRule="auto"/>
              <w:jc w:val="right"/>
            </w:pPr>
            <w:r>
              <w:rPr>
                <w:rFonts w:ascii="Times New Roman" w:eastAsia="Times New Roman" w:hAnsi="Times New Roman" w:cs="Times New Roman"/>
                <w:b w:val="0"/>
                <w:i w:val="0"/>
                <w:color w:val="000000"/>
                <w:sz w:val="18"/>
                <w:u w:val="none"/>
              </w:rPr>
              <w:tab/>
              <w:t>42,831</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55" w:after="30" w:line="240" w:lineRule="auto"/>
              <w:jc w:val="right"/>
            </w:pPr>
            <w:r>
              <w:rPr>
                <w:rFonts w:ascii="Times New Roman" w:eastAsia="Times New Roman" w:hAnsi="Times New Roman" w:cs="Times New Roman"/>
                <w:b w:val="0"/>
                <w:i w:val="0"/>
                <w:color w:val="000000"/>
                <w:sz w:val="18"/>
                <w:u w:val="none"/>
              </w:rPr>
              <w:tab/>
              <w:t>1.8</w:t>
              <w:tab/>
              <w:t>%</w:t>
            </w:r>
          </w:p>
        </w:tc>
      </w:tr>
      <w:tr>
        <w:tblPrEx>
          <w:tblW w:w="10215" w:type="dxa"/>
          <w:tblInd w:w="0" w:type="dxa"/>
          <w:tblLayout w:type="fixed"/>
        </w:tblPrEx>
        <w:trPr>
          <w:trHeight w:hRule="exact" w:val="495"/>
        </w:trPr>
        <w:tc>
          <w:tcPr>
            <w:tcW w:w="1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and industrial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214,368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11.1</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228,738</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08"/>
              </w:tabs>
              <w:spacing w:before="75" w:after="30" w:line="240" w:lineRule="auto"/>
              <w:jc w:val="right"/>
            </w:pPr>
            <w:r>
              <w:rPr>
                <w:rFonts w:ascii="Times New Roman" w:eastAsia="Times New Roman" w:hAnsi="Times New Roman" w:cs="Times New Roman"/>
                <w:b w:val="0"/>
                <w:i w:val="0"/>
                <w:color w:val="000000"/>
                <w:sz w:val="18"/>
                <w:u w:val="none"/>
              </w:rPr>
              <w:tab/>
              <w:t>11.0</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227,077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9.9</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238,144</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9.9</w:t>
              <w:tab/>
              <w:t>%</w:t>
            </w:r>
          </w:p>
        </w:tc>
      </w:tr>
      <w:tr>
        <w:tblPrEx>
          <w:tblW w:w="10215" w:type="dxa"/>
          <w:tblInd w:w="0" w:type="dxa"/>
          <w:tblLayout w:type="fixed"/>
        </w:tblPrEx>
        <w:trPr>
          <w:trHeight w:hRule="exact" w:val="300"/>
        </w:trPr>
        <w:tc>
          <w:tcPr>
            <w:tcW w:w="1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leases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71,110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3.7</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75,617</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3.7</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134,958</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5.9</w:t>
              <w:tab/>
              <w:t>%</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75" w:after="30" w:line="240" w:lineRule="auto"/>
              <w:jc w:val="right"/>
            </w:pPr>
            <w:r>
              <w:rPr>
                <w:rFonts w:ascii="Times New Roman" w:eastAsia="Times New Roman" w:hAnsi="Times New Roman" w:cs="Times New Roman"/>
                <w:b w:val="0"/>
                <w:i w:val="0"/>
                <w:color w:val="000000"/>
                <w:sz w:val="18"/>
                <w:u w:val="none"/>
              </w:rPr>
              <w:tab/>
              <w:t>159,209</w:t>
              <w:tab/>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6.6</w:t>
              <w:tab/>
              <w:t>%</w:t>
            </w:r>
          </w:p>
        </w:tc>
      </w:tr>
      <w:tr>
        <w:tblPrEx>
          <w:tblW w:w="10215" w:type="dxa"/>
          <w:tblInd w:w="0" w:type="dxa"/>
          <w:tblLayout w:type="fixed"/>
        </w:tblPrEx>
        <w:trPr>
          <w:trHeight w:hRule="exact" w:val="300"/>
        </w:trPr>
        <w:tc>
          <w:tcPr>
            <w:tcW w:w="1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Consumer and 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31,070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1.6</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33,023</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1.6</w:t>
              <w:tab/>
              <w:t>%</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34,763</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1.5</w:t>
              <w:tab/>
              <w:t>%</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84"/>
                <w:tab w:val="left" w:pos="937"/>
              </w:tabs>
              <w:spacing w:before="75" w:after="30" w:line="240" w:lineRule="auto"/>
              <w:jc w:val="right"/>
            </w:pPr>
            <w:r>
              <w:rPr>
                <w:rFonts w:ascii="Times New Roman" w:eastAsia="Times New Roman" w:hAnsi="Times New Roman" w:cs="Times New Roman"/>
                <w:b w:val="0"/>
                <w:i w:val="0"/>
                <w:color w:val="000000"/>
                <w:sz w:val="18"/>
                <w:u w:val="none"/>
              </w:rPr>
              <w:tab/>
              <w:t>38,240</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18"/>
              </w:tabs>
              <w:spacing w:before="75" w:after="30" w:line="240" w:lineRule="auto"/>
              <w:jc w:val="right"/>
            </w:pPr>
            <w:r>
              <w:rPr>
                <w:rFonts w:ascii="Times New Roman" w:eastAsia="Times New Roman" w:hAnsi="Times New Roman" w:cs="Times New Roman"/>
                <w:b w:val="0"/>
                <w:i w:val="0"/>
                <w:color w:val="000000"/>
                <w:sz w:val="18"/>
                <w:u w:val="none"/>
              </w:rPr>
              <w:tab/>
              <w:t>1.6</w:t>
              <w:tab/>
              <w:t>%</w:t>
            </w:r>
          </w:p>
        </w:tc>
      </w:tr>
      <w:tr>
        <w:tblPrEx>
          <w:tblW w:w="10215" w:type="dxa"/>
          <w:tblInd w:w="0" w:type="dxa"/>
          <w:tblLayout w:type="fixed"/>
        </w:tblPrEx>
        <w:trPr>
          <w:trHeight w:hRule="exact" w:val="285"/>
        </w:trPr>
        <w:tc>
          <w:tcPr>
            <w:tcW w:w="1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i w:val="0"/>
                <w:color w:val="000000"/>
                <w:sz w:val="18"/>
                <w:u w:val="none"/>
              </w:rPr>
              <w:tab/>
              <w:t>354,447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18.4</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i w:val="0"/>
                <w:color w:val="000000"/>
                <w:sz w:val="18"/>
                <w:u w:val="none"/>
              </w:rPr>
              <w:tab/>
              <w:t>372,622</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18.0</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i w:val="0"/>
                <w:color w:val="000000"/>
                <w:sz w:val="18"/>
                <w:u w:val="none"/>
              </w:rPr>
              <w:tab/>
              <w:t>441,535</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19.3</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0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294"/>
                <w:tab w:val="left" w:pos="937"/>
              </w:tabs>
              <w:spacing w:before="55" w:after="30" w:line="240" w:lineRule="auto"/>
              <w:jc w:val="right"/>
            </w:pPr>
            <w:r>
              <w:rPr>
                <w:rFonts w:ascii="Times New Roman" w:eastAsia="Times New Roman" w:hAnsi="Times New Roman" w:cs="Times New Roman"/>
                <w:b/>
                <w:i w:val="0"/>
                <w:color w:val="000000"/>
                <w:sz w:val="18"/>
                <w:u w:val="none"/>
              </w:rPr>
              <w:tab/>
              <w:t>478,424</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9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55" w:after="30" w:line="240" w:lineRule="auto"/>
              <w:jc w:val="right"/>
            </w:pPr>
            <w:r>
              <w:rPr>
                <w:rFonts w:ascii="Times New Roman" w:eastAsia="Times New Roman" w:hAnsi="Times New Roman" w:cs="Times New Roman"/>
                <w:b/>
                <w:i w:val="0"/>
                <w:color w:val="000000"/>
                <w:sz w:val="18"/>
                <w:u w:val="none"/>
              </w:rPr>
              <w:tab/>
              <w:t>19.9</w:t>
              <w:tab/>
              <w:t>%</w:t>
            </w:r>
          </w:p>
        </w:tc>
      </w:tr>
      <w:tr>
        <w:tblPrEx>
          <w:tblW w:w="10215" w:type="dxa"/>
          <w:tblInd w:w="0" w:type="dxa"/>
          <w:tblLayout w:type="fixed"/>
        </w:tblPrEx>
        <w:trPr>
          <w:trHeight w:hRule="exact" w:val="480"/>
        </w:trPr>
        <w:tc>
          <w:tcPr>
            <w:tcW w:w="1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loans before unearned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1,930,095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55" w:after="30" w:line="240" w:lineRule="auto"/>
              <w:jc w:val="right"/>
            </w:pPr>
            <w:r>
              <w:rPr>
                <w:rFonts w:ascii="Times New Roman" w:eastAsia="Times New Roman" w:hAnsi="Times New Roman" w:cs="Times New Roman"/>
                <w:b/>
                <w:i w:val="0"/>
                <w:color w:val="000000"/>
                <w:sz w:val="18"/>
                <w:u w:val="none"/>
              </w:rPr>
              <w:tab/>
              <w:t>100.0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2,075,819</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55" w:after="30" w:line="240" w:lineRule="auto"/>
              <w:jc w:val="right"/>
            </w:pPr>
            <w:r>
              <w:rPr>
                <w:rFonts w:ascii="Times New Roman" w:eastAsia="Times New Roman" w:hAnsi="Times New Roman" w:cs="Times New Roman"/>
                <w:b/>
                <w:i w:val="0"/>
                <w:color w:val="000000"/>
                <w:sz w:val="18"/>
                <w:u w:val="none"/>
              </w:rPr>
              <w:tab/>
              <w:t>100.0</w:t>
              <w:tab/>
              <w:t>%</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2,286,173</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55" w:after="30" w:line="240" w:lineRule="auto"/>
              <w:jc w:val="right"/>
            </w:pPr>
            <w:r>
              <w:rPr>
                <w:rFonts w:ascii="Times New Roman" w:eastAsia="Times New Roman" w:hAnsi="Times New Roman" w:cs="Times New Roman"/>
                <w:b/>
                <w:i w:val="0"/>
                <w:color w:val="000000"/>
                <w:sz w:val="18"/>
                <w:u w:val="none"/>
              </w:rPr>
              <w:tab/>
              <w:t>100.0</w:t>
              <w:tab/>
              <w:t>%</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ab/>
              <w:t>2,417,351</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55" w:after="30" w:line="240" w:lineRule="auto"/>
              <w:jc w:val="right"/>
            </w:pPr>
            <w:r>
              <w:rPr>
                <w:rFonts w:ascii="Times New Roman" w:eastAsia="Times New Roman" w:hAnsi="Times New Roman" w:cs="Times New Roman"/>
                <w:b/>
                <w:i w:val="0"/>
                <w:color w:val="000000"/>
                <w:sz w:val="18"/>
                <w:u w:val="none"/>
              </w:rPr>
              <w:tab/>
              <w:t>100.0</w:t>
              <w:tab/>
              <w:t>%</w:t>
            </w:r>
          </w:p>
        </w:tc>
      </w:tr>
      <w:tr>
        <w:tblPrEx>
          <w:tblW w:w="10215" w:type="dxa"/>
          <w:tblInd w:w="0" w:type="dxa"/>
          <w:tblLayout w:type="fixed"/>
        </w:tblPrEx>
        <w:trPr>
          <w:trHeight w:hRule="exact" w:val="255"/>
        </w:trPr>
        <w:tc>
          <w:tcPr>
            <w:tcW w:w="1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15" w:after="30" w:line="240" w:lineRule="auto"/>
              <w:jc w:val="left"/>
            </w:pPr>
            <w:r>
              <w:rPr>
                <w:rFonts w:ascii="Times New Roman" w:eastAsia="Times New Roman" w:hAnsi="Times New Roman" w:cs="Times New Roman"/>
                <w:b w:val="0"/>
                <w:i w:val="0"/>
                <w:color w:val="000000"/>
                <w:sz w:val="18"/>
                <w:u w:val="none"/>
              </w:rPr>
              <w:t>Unearned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4"/>
              </w:tabs>
              <w:spacing w:before="15" w:after="30" w:line="240" w:lineRule="auto"/>
              <w:jc w:val="right"/>
            </w:pPr>
            <w:r>
              <w:rPr>
                <w:rFonts w:ascii="Times New Roman" w:eastAsia="Times New Roman" w:hAnsi="Times New Roman" w:cs="Times New Roman"/>
                <w:b w:val="0"/>
                <w:i w:val="0"/>
                <w:color w:val="000000"/>
                <w:sz w:val="18"/>
                <w:u w:val="none"/>
              </w:rPr>
              <w:tab/>
              <w:t>(5,518)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4"/>
              </w:tabs>
              <w:spacing w:before="15" w:after="30" w:line="240" w:lineRule="auto"/>
              <w:jc w:val="right"/>
            </w:pPr>
            <w:r>
              <w:rPr>
                <w:rFonts w:ascii="Times New Roman" w:eastAsia="Times New Roman" w:hAnsi="Times New Roman" w:cs="Times New Roman"/>
                <w:b w:val="0"/>
                <w:i w:val="0"/>
                <w:color w:val="000000"/>
                <w:sz w:val="18"/>
                <w:u w:val="none"/>
              </w:rPr>
              <w:tab/>
              <w:t>(6,017)</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9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4"/>
              </w:tabs>
              <w:spacing w:before="15" w:after="30" w:line="240" w:lineRule="auto"/>
              <w:jc w:val="right"/>
            </w:pPr>
            <w:r>
              <w:rPr>
                <w:rFonts w:ascii="Times New Roman" w:eastAsia="Times New Roman" w:hAnsi="Times New Roman" w:cs="Times New Roman"/>
                <w:b w:val="0"/>
                <w:i w:val="0"/>
                <w:color w:val="000000"/>
                <w:sz w:val="18"/>
                <w:u w:val="none"/>
              </w:rPr>
              <w:tab/>
              <w:t>(6,432)</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9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4"/>
              </w:tabs>
              <w:spacing w:before="15" w:after="30" w:line="240" w:lineRule="auto"/>
              <w:jc w:val="right"/>
            </w:pPr>
            <w:r>
              <w:rPr>
                <w:rFonts w:ascii="Times New Roman" w:eastAsia="Times New Roman" w:hAnsi="Times New Roman" w:cs="Times New Roman"/>
                <w:b w:val="0"/>
                <w:i w:val="0"/>
                <w:color w:val="000000"/>
                <w:sz w:val="18"/>
                <w:u w:val="none"/>
              </w:rPr>
              <w:tab/>
              <w:t>(6,846)</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9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r>
      <w:tr>
        <w:tblPrEx>
          <w:tblW w:w="10215" w:type="dxa"/>
          <w:tblInd w:w="0" w:type="dxa"/>
          <w:tblLayout w:type="fixed"/>
        </w:tblPrEx>
        <w:trPr>
          <w:trHeight w:hRule="exact" w:val="480"/>
        </w:trPr>
        <w:tc>
          <w:tcPr>
            <w:tcW w:w="19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18"/>
                <w:u w:val="none"/>
              </w:rPr>
              <w:t>Total loans net of unearned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w:t>
              <w:tab/>
              <w:t>1,924,577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5" w:after="30" w:line="240" w:lineRule="auto"/>
              <w:jc w:val="righ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w:t>
              <w:tab/>
              <w:t>2,069,802</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pageBreakBefore w:val="0"/>
              <w:spacing w:before="55" w:after="30" w:line="240" w:lineRule="auto"/>
              <w:jc w:val="left"/>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5" w:after="30" w:line="240" w:lineRule="auto"/>
              <w:jc w:val="right"/>
            </w:pP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pageBreakBefore w:val="0"/>
              <w:spacing w:before="55" w:after="30" w:line="240" w:lineRule="auto"/>
              <w:jc w:val="left"/>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w:t>
              <w:tab/>
              <w:t>2,279,741</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pageBreakBefore w:val="0"/>
              <w:spacing w:before="55" w:after="30" w:line="240" w:lineRule="auto"/>
              <w:jc w:val="left"/>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5" w:after="30" w:line="240" w:lineRule="auto"/>
              <w:jc w:val="right"/>
            </w:pP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pageBreakBefore w:val="0"/>
              <w:spacing w:before="55" w:after="30" w:line="240" w:lineRule="auto"/>
              <w:jc w:val="left"/>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59"/>
                <w:tab w:val="left" w:pos="937"/>
              </w:tabs>
              <w:spacing w:before="55" w:after="30" w:line="240" w:lineRule="auto"/>
              <w:jc w:val="right"/>
            </w:pPr>
            <w:r>
              <w:rPr>
                <w:rFonts w:ascii="Times New Roman" w:eastAsia="Times New Roman" w:hAnsi="Times New Roman" w:cs="Times New Roman"/>
                <w:b/>
                <w:i w:val="0"/>
                <w:color w:val="000000"/>
                <w:sz w:val="18"/>
                <w:u w:val="none"/>
              </w:rPr>
              <w:t>$</w:t>
              <w:tab/>
              <w:t>2,410,505</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pageBreakBefore w:val="0"/>
              <w:spacing w:before="55" w:after="30" w:line="240" w:lineRule="auto"/>
              <w:jc w:val="left"/>
            </w:pPr>
          </w:p>
        </w:tc>
        <w:tc>
          <w:tcPr>
            <w:tcW w:w="900"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5" w:after="30" w:line="240" w:lineRule="auto"/>
              <w:jc w:val="right"/>
            </w:pPr>
          </w:p>
        </w:tc>
      </w:tr>
    </w:tbl>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color w:val="FF0090"/>
          <w:sz w:val="18"/>
          <w:u w:val="none"/>
        </w:rPr>
      </w:pPr>
      <w:r>
        <w:rPr>
          <w:rFonts w:ascii="Times New Roman" w:eastAsia="Times New Roman" w:hAnsi="Times New Roman" w:cs="Times New Roman"/>
          <w:b/>
          <w:i/>
          <w:sz w:val="18"/>
        </w:rPr>
        <w:t xml:space="preserve">  </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FF0090"/>
          <w:sz w:val="18"/>
          <w:u w:val="none"/>
        </w:rPr>
        <w:sectPr>
          <w:pgSz w:w="12240" w:h="15840"/>
          <w:pgMar w:top="855" w:right="990" w:bottom="855" w:left="990" w:header="0" w:footer="0"/>
          <w:cols w:space="708"/>
        </w:sectPr>
      </w:pPr>
    </w:p>
    <w:p>
      <w:pPr>
        <w:keepNext w:val="0"/>
        <w:keepLines w:val="0"/>
        <w:pageBreakBefore w:val="0"/>
        <w:widowControl/>
        <w:numPr>
          <w:ilvl w:val="0"/>
          <w:numId w:val="0"/>
        </w:numPr>
        <w:spacing w:before="0" w:after="0" w:line="288" w:lineRule="auto"/>
        <w:ind w:left="0" w:right="0" w:firstLine="0"/>
        <w:jc w:val="left"/>
        <w:outlineLvl w:val="0"/>
        <w:rPr>
          <w:rFonts w:ascii="Times New Roman" w:eastAsia="Times New Roman" w:hAnsi="Times New Roman" w:cs="Times New Roman"/>
          <w:b w:val="0"/>
          <w:i w:val="0"/>
          <w:color w:val="FF0090"/>
          <w:sz w:val="18"/>
          <w:u w:val="none"/>
        </w:rPr>
      </w:pPr>
      <w:bookmarkStart w:id="2" w:name="Section6"/>
      <w:bookmarkEnd w:id="2"/>
      <w:r>
        <w:rPr>
          <w:rFonts w:ascii="Times New Roman" w:eastAsia="Times New Roman" w:hAnsi="Times New Roman" w:cs="Times New Roman"/>
          <w:b w:val="0"/>
          <w:i w:val="0"/>
          <w:sz w:val="18"/>
        </w:rPr>
        <w:t>The table below sets forth the amounts and categories of our nonperforming assets at the dates indicated.</w:t>
      </w:r>
    </w:p>
    <w:tbl>
      <w:tblPr>
        <w:tblStyle w:val="TableNormal0"/>
        <w:tblW w:w="10095" w:type="dxa"/>
        <w:jc w:val="left"/>
        <w:tblInd w:w="0" w:type="dxa"/>
        <w:tblLayout w:type="fixed"/>
      </w:tblPr>
      <w:tblGrid>
        <w:gridCol w:w="4973"/>
        <w:gridCol w:w="75"/>
        <w:gridCol w:w="1195"/>
        <w:gridCol w:w="75"/>
        <w:gridCol w:w="1195"/>
        <w:gridCol w:w="96"/>
        <w:gridCol w:w="1195"/>
        <w:gridCol w:w="96"/>
        <w:gridCol w:w="1195"/>
      </w:tblGrid>
      <w:tr>
        <w:tblPrEx>
          <w:tblW w:w="10095" w:type="dxa"/>
          <w:tblInd w:w="0" w:type="dxa"/>
          <w:tblLayout w:type="fixed"/>
        </w:tblPrEx>
        <w:trPr>
          <w:trHeight w:hRule="exact" w:val="465"/>
        </w:trPr>
        <w:tc>
          <w:tcPr>
            <w:tcW w:w="499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color w:val="000000"/>
                <w:sz w:val="18"/>
                <w:u w:val="none"/>
              </w:rPr>
              <w:t>(in thousands)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December 31, 2025</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75" w:after="30" w:line="240" w:lineRule="auto"/>
              <w:jc w:val="left"/>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September 30, 2025</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75" w:after="30" w:line="240" w:lineRule="auto"/>
              <w:jc w:val="left"/>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June 30, 2025</w:t>
            </w:r>
          </w:p>
        </w:tc>
      </w:tr>
      <w:tr>
        <w:tblPrEx>
          <w:tblW w:w="10095" w:type="dxa"/>
          <w:tblInd w:w="0" w:type="dxa"/>
          <w:tblLayout w:type="fixed"/>
        </w:tblPrEx>
        <w:trPr>
          <w:trHeight w:hRule="exact" w:val="225"/>
        </w:trPr>
        <w:tc>
          <w:tcPr>
            <w:tcW w:w="49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Nonaccrual loans: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r>
      <w:tr>
        <w:tblPrEx>
          <w:tblW w:w="10095" w:type="dxa"/>
          <w:tblInd w:w="0" w:type="dxa"/>
          <w:tblLayout w:type="fixed"/>
        </w:tblPrEx>
        <w:trPr>
          <w:trHeight w:hRule="exact" w:val="225"/>
        </w:trPr>
        <w:tc>
          <w:tcPr>
            <w:tcW w:w="49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Real Estate: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Construction and land development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w:t>
              <w:tab/>
              <w:t>9,466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w:t>
              <w:tab/>
              <w:t>9,281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w:t>
              <w:tab/>
              <w:t>8,707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w:t>
              <w:tab/>
              <w:t>1,766</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Farmland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2,633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2,671</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2,777</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1,785</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1- 4 family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8,865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9,768</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10,536</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11,866</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Multifamily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2,231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2,278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23,998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34,668</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Non-farm non-residential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21,789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24,347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42,532</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59,668</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44,984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48,345</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88,550</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ab/>
              <w:t>109,753</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Non-Real Estate: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Agricultural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1,645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2,172</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1,886</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1,782</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and industrial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1,224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2,266</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5,339</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5,567</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leases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6,483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6,640</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18,358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1,961</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Consumer and 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158</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132</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116</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55" w:after="30" w:line="240" w:lineRule="auto"/>
              <w:jc w:val="right"/>
            </w:pPr>
            <w:r>
              <w:rPr>
                <w:rFonts w:ascii="Times New Roman" w:eastAsia="Times New Roman" w:hAnsi="Times New Roman" w:cs="Times New Roman"/>
                <w:b/>
                <w:i w:val="0"/>
                <w:color w:val="000000"/>
                <w:sz w:val="18"/>
                <w:u w:val="none"/>
              </w:rPr>
              <w:tab/>
              <w:t>9,425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11,236</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25,715</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55" w:after="30" w:line="240" w:lineRule="auto"/>
              <w:jc w:val="right"/>
            </w:pPr>
            <w:r>
              <w:rPr>
                <w:rFonts w:ascii="Times New Roman" w:eastAsia="Times New Roman" w:hAnsi="Times New Roman" w:cs="Times New Roman"/>
                <w:b/>
                <w:i w:val="0"/>
                <w:color w:val="000000"/>
                <w:sz w:val="18"/>
                <w:u w:val="none"/>
              </w:rPr>
              <w:tab/>
              <w:t>9,426</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nonaccrual loans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54,409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59,581</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ab/>
              <w:t>114,265</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ab/>
              <w:t>119,179</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r>
      <w:tr>
        <w:tblPrEx>
          <w:tblW w:w="10095" w:type="dxa"/>
          <w:tblInd w:w="0" w:type="dxa"/>
          <w:tblLayout w:type="fixed"/>
        </w:tblPrEx>
        <w:trPr>
          <w:trHeight w:hRule="exact" w:val="225"/>
        </w:trPr>
        <w:tc>
          <w:tcPr>
            <w:tcW w:w="499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Loans 90 days and greater delinquent &amp; accruing: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r>
      <w:tr>
        <w:tblPrEx>
          <w:tblW w:w="10095" w:type="dxa"/>
          <w:tblInd w:w="0" w:type="dxa"/>
          <w:tblLayout w:type="fixed"/>
        </w:tblPrEx>
        <w:trPr>
          <w:trHeight w:hRule="exact" w:val="225"/>
        </w:trPr>
        <w:tc>
          <w:tcPr>
            <w:tcW w:w="49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Construction and land development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Farmland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1- 4 family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107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763</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Multifamily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Non-farm non-residential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123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33</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284</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 w:val="left" w:pos="1132"/>
              </w:tabs>
              <w:spacing w:before="55" w:after="30" w:line="240" w:lineRule="auto"/>
              <w:jc w:val="right"/>
            </w:pPr>
            <w:r>
              <w:rPr>
                <w:rFonts w:ascii="Times New Roman" w:eastAsia="Times New Roman" w:hAnsi="Times New Roman" w:cs="Times New Roman"/>
                <w:b/>
                <w:i w:val="0"/>
                <w:color w:val="000000"/>
                <w:sz w:val="18"/>
                <w:u w:val="none"/>
              </w:rPr>
              <w:tab/>
              <w:t>230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 w:val="left" w:pos="1132"/>
              </w:tabs>
              <w:spacing w:before="55" w:after="30" w:line="240" w:lineRule="auto"/>
              <w:jc w:val="right"/>
            </w:pPr>
            <w:r>
              <w:rPr>
                <w:rFonts w:ascii="Times New Roman" w:eastAsia="Times New Roman" w:hAnsi="Times New Roman" w:cs="Times New Roman"/>
                <w:b/>
                <w:i w:val="0"/>
                <w:color w:val="000000"/>
                <w:sz w:val="18"/>
                <w:u w:val="none"/>
              </w:rPr>
              <w:tab/>
              <w:t>796</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4"/>
                <w:tab w:val="left" w:pos="1132"/>
              </w:tabs>
              <w:spacing w:before="55" w:after="30" w:line="240" w:lineRule="auto"/>
              <w:jc w:val="right"/>
            </w:pPr>
            <w:r>
              <w:rPr>
                <w:rFonts w:ascii="Times New Roman" w:eastAsia="Times New Roman" w:hAnsi="Times New Roman" w:cs="Times New Roman"/>
                <w:b/>
                <w:i w:val="0"/>
                <w:color w:val="000000"/>
                <w:sz w:val="18"/>
                <w:u w:val="none"/>
              </w:rPr>
              <w:tab/>
              <w:t>284</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Non-Real Estate: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Agricultural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and industrial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leases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Consumer and 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loans 90 days and greater delinquent &amp; accruing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55" w:after="30" w:line="240" w:lineRule="auto"/>
              <w:jc w:val="right"/>
            </w:pPr>
            <w:r>
              <w:rPr>
                <w:rFonts w:ascii="Times New Roman" w:eastAsia="Times New Roman" w:hAnsi="Times New Roman" w:cs="Times New Roman"/>
                <w:b/>
                <w:i w:val="0"/>
                <w:color w:val="000000"/>
                <w:sz w:val="18"/>
                <w:u w:val="none"/>
              </w:rPr>
              <w:tab/>
              <w:t>230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55" w:after="30" w:line="240" w:lineRule="auto"/>
              <w:jc w:val="right"/>
            </w:pPr>
            <w:r>
              <w:rPr>
                <w:rFonts w:ascii="Times New Roman" w:eastAsia="Times New Roman" w:hAnsi="Times New Roman" w:cs="Times New Roman"/>
                <w:b/>
                <w:i w:val="0"/>
                <w:color w:val="000000"/>
                <w:sz w:val="18"/>
                <w:u w:val="none"/>
              </w:rPr>
              <w:tab/>
              <w:t>796</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55" w:after="30" w:line="240" w:lineRule="auto"/>
              <w:jc w:val="lef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55" w:after="30" w:line="240" w:lineRule="auto"/>
              <w:jc w:val="right"/>
            </w:pPr>
            <w:r>
              <w:rPr>
                <w:rFonts w:ascii="Times New Roman" w:eastAsia="Times New Roman" w:hAnsi="Times New Roman" w:cs="Times New Roman"/>
                <w:b/>
                <w:i w:val="0"/>
                <w:color w:val="000000"/>
                <w:sz w:val="18"/>
                <w:u w:val="none"/>
              </w:rPr>
              <w:tab/>
              <w:t>284</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non-performing loans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54,639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60,377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ab/>
              <w:t>114,265</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ab/>
              <w:t>119,463</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r>
      <w:tr>
        <w:tblPrEx>
          <w:tblW w:w="10095" w:type="dxa"/>
          <w:tblInd w:w="0" w:type="dxa"/>
          <w:tblLayout w:type="fixed"/>
        </w:tblPrEx>
        <w:trPr>
          <w:trHeight w:hRule="exact" w:val="225"/>
        </w:trPr>
        <w:tc>
          <w:tcPr>
            <w:tcW w:w="499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Real Estate Owned: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r>
      <w:tr>
        <w:tblPrEx>
          <w:tblW w:w="10095" w:type="dxa"/>
          <w:tblInd w:w="0" w:type="dxa"/>
          <w:tblLayout w:type="fixed"/>
        </w:tblPrEx>
        <w:trPr>
          <w:trHeight w:hRule="exact" w:val="225"/>
        </w:trPr>
        <w:tc>
          <w:tcPr>
            <w:tcW w:w="49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Real Estate Loans: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Construction and land development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1,161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8,161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8,545</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7,384</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Farmland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1- 4 family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851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351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234</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4"/>
                <w:tab w:val="left" w:pos="1132"/>
              </w:tabs>
              <w:spacing w:before="75" w:after="30" w:line="240" w:lineRule="auto"/>
              <w:jc w:val="right"/>
            </w:pPr>
            <w:r>
              <w:rPr>
                <w:rFonts w:ascii="Times New Roman" w:eastAsia="Times New Roman" w:hAnsi="Times New Roman" w:cs="Times New Roman"/>
                <w:b w:val="0"/>
                <w:i w:val="0"/>
                <w:color w:val="000000"/>
                <w:sz w:val="18"/>
                <w:u w:val="none"/>
              </w:rPr>
              <w:tab/>
              <w:t>192</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Multifamily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Non-farm non-residential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26,860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75" w:after="30" w:line="240" w:lineRule="auto"/>
              <w:jc w:val="right"/>
            </w:pPr>
            <w:r>
              <w:rPr>
                <w:rFonts w:ascii="Times New Roman" w:eastAsia="Times New Roman" w:hAnsi="Times New Roman" w:cs="Times New Roman"/>
                <w:b w:val="0"/>
                <w:i w:val="0"/>
                <w:color w:val="000000"/>
                <w:sz w:val="18"/>
                <w:u w:val="none"/>
              </w:rPr>
              <w:tab/>
              <w:t>26,572</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75" w:after="30" w:line="240" w:lineRule="auto"/>
              <w:jc w:val="right"/>
            </w:pPr>
            <w:r>
              <w:rPr>
                <w:rFonts w:ascii="Times New Roman" w:eastAsia="Times New Roman" w:hAnsi="Times New Roman" w:cs="Times New Roman"/>
                <w:b w:val="0"/>
                <w:i w:val="0"/>
                <w:color w:val="000000"/>
                <w:sz w:val="18"/>
                <w:u w:val="none"/>
              </w:rPr>
              <w:tab/>
              <w:t>3,271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81</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28,872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35,084</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12,050</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89"/>
                <w:tab w:val="left" w:pos="1132"/>
              </w:tabs>
              <w:spacing w:before="55" w:after="30" w:line="240" w:lineRule="auto"/>
              <w:jc w:val="right"/>
            </w:pPr>
            <w:r>
              <w:rPr>
                <w:rFonts w:ascii="Times New Roman" w:eastAsia="Times New Roman" w:hAnsi="Times New Roman" w:cs="Times New Roman"/>
                <w:b/>
                <w:i w:val="0"/>
                <w:color w:val="000000"/>
                <w:sz w:val="18"/>
                <w:u w:val="none"/>
              </w:rPr>
              <w:tab/>
              <w:t>7,657</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Non-Real Estate Loans: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Agricultural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and industrial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leases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Consumer and other</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4"/>
                <w:tab w:val="left" w:pos="113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Non-Real Estate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4"/>
                <w:tab w:val="left" w:pos="1132"/>
              </w:tabs>
              <w:spacing w:before="55" w:after="30" w:line="240" w:lineRule="auto"/>
              <w:jc w:val="right"/>
            </w:pPr>
            <w:r>
              <w:rPr>
                <w:rFonts w:ascii="Times New Roman" w:eastAsia="Times New Roman" w:hAnsi="Times New Roman" w:cs="Times New Roman"/>
                <w:b w:val="0"/>
                <w:i w:val="0"/>
                <w:color w:val="000000"/>
                <w:sz w:val="18"/>
                <w:u w:val="none"/>
              </w:rPr>
              <w:tab/>
              <w:t>—</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Real Estate Owned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28,872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35,084</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ab/>
              <w:t>12,050</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89"/>
                <w:tab w:val="left" w:pos="1132"/>
              </w:tabs>
              <w:spacing w:before="55" w:after="30" w:line="240" w:lineRule="auto"/>
              <w:jc w:val="right"/>
            </w:pPr>
            <w:r>
              <w:rPr>
                <w:rFonts w:ascii="Times New Roman" w:eastAsia="Times New Roman" w:hAnsi="Times New Roman" w:cs="Times New Roman"/>
                <w:b/>
                <w:i w:val="0"/>
                <w:color w:val="000000"/>
                <w:sz w:val="18"/>
                <w:u w:val="none"/>
              </w:rPr>
              <w:tab/>
              <w:t>7,657</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75" w:after="30" w:line="240" w:lineRule="auto"/>
              <w:jc w:val="right"/>
            </w:pPr>
          </w:p>
        </w:tc>
      </w:tr>
      <w:tr>
        <w:tblPrEx>
          <w:tblW w:w="10095" w:type="dxa"/>
          <w:tblInd w:w="0" w:type="dxa"/>
          <w:tblLayout w:type="fixed"/>
        </w:tblPrEx>
        <w:trPr>
          <w:trHeight w:hRule="exact" w:val="28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Total non-performing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w:t>
              <w:tab/>
              <w:t>83,511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99"/>
                <w:tab w:val="left" w:pos="1132"/>
              </w:tabs>
              <w:spacing w:before="55" w:after="30" w:line="240" w:lineRule="auto"/>
              <w:jc w:val="right"/>
            </w:pPr>
            <w:r>
              <w:rPr>
                <w:rFonts w:ascii="Times New Roman" w:eastAsia="Times New Roman" w:hAnsi="Times New Roman" w:cs="Times New Roman"/>
                <w:b/>
                <w:i w:val="0"/>
                <w:color w:val="000000"/>
                <w:sz w:val="18"/>
                <w:u w:val="none"/>
              </w:rPr>
              <w:t>$</w:t>
              <w:tab/>
              <w:t>95,461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w:t>
              <w:tab/>
              <w:t>126,315</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5" w:after="30" w:line="240" w:lineRule="auto"/>
              <w:jc w:val="right"/>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9"/>
                <w:tab w:val="left" w:pos="1132"/>
              </w:tabs>
              <w:spacing w:before="55" w:after="30" w:line="240" w:lineRule="auto"/>
              <w:jc w:val="right"/>
            </w:pPr>
            <w:r>
              <w:rPr>
                <w:rFonts w:ascii="Times New Roman" w:eastAsia="Times New Roman" w:hAnsi="Times New Roman" w:cs="Times New Roman"/>
                <w:b/>
                <w:i w:val="0"/>
                <w:color w:val="000000"/>
                <w:sz w:val="18"/>
                <w:u w:val="none"/>
              </w:rPr>
              <w:t>$</w:t>
              <w:tab/>
              <w:t>127,120</w:t>
              <w:tab/>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12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c>
          <w:tcPr>
            <w:tcW w:w="120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pPr>
              <w:keepNext/>
              <w:pageBreakBefore w:val="0"/>
              <w:spacing w:before="15" w:after="30" w:line="240" w:lineRule="auto"/>
              <w:jc w:val="right"/>
            </w:pP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Non-performing assets to total loans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4.34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4.61</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5.54</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5.27</w:t>
              <w:tab/>
              <w:t>%</w:t>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Non-performing assets to 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2.11</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2.34</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3.33</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3.20</w:t>
              <w:tab/>
              <w:t>%</w:t>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Non-performing loans to total loans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2.84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2.92</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5.01</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4.96</w:t>
              <w:tab/>
              <w:t>%</w:t>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Nonaccrual loans to total loans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2.83</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2.88</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5.01</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4.94</w:t>
              <w:tab/>
              <w:t>%</w:t>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Allowance for credit losses to nonaccrual loans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75" w:after="30" w:line="240" w:lineRule="auto"/>
              <w:jc w:val="right"/>
            </w:pPr>
            <w:r>
              <w:rPr>
                <w:rFonts w:ascii="Times New Roman" w:eastAsia="Times New Roman" w:hAnsi="Times New Roman" w:cs="Times New Roman"/>
                <w:b/>
                <w:i w:val="0"/>
                <w:color w:val="000000"/>
                <w:sz w:val="18"/>
                <w:u w:val="none"/>
              </w:rPr>
              <w:tab/>
              <w:t>70.74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75" w:after="30" w:line="240" w:lineRule="auto"/>
              <w:jc w:val="right"/>
            </w:pPr>
            <w:r>
              <w:rPr>
                <w:rFonts w:ascii="Times New Roman" w:eastAsia="Times New Roman" w:hAnsi="Times New Roman" w:cs="Times New Roman"/>
                <w:b/>
                <w:i w:val="0"/>
                <w:color w:val="000000"/>
                <w:sz w:val="18"/>
                <w:u w:val="none"/>
              </w:rPr>
              <w:tab/>
              <w:t>68.40</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75" w:after="30" w:line="240" w:lineRule="auto"/>
              <w:jc w:val="right"/>
            </w:pPr>
            <w:r>
              <w:rPr>
                <w:rFonts w:ascii="Times New Roman" w:eastAsia="Times New Roman" w:hAnsi="Times New Roman" w:cs="Times New Roman"/>
                <w:b/>
                <w:i w:val="0"/>
                <w:color w:val="000000"/>
                <w:sz w:val="18"/>
                <w:u w:val="none"/>
              </w:rPr>
              <w:tab/>
              <w:t>75.01</w:t>
              <w:tab/>
              <w:t>%</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68"/>
              </w:tabs>
              <w:spacing w:before="75" w:after="30" w:line="240" w:lineRule="auto"/>
              <w:jc w:val="right"/>
            </w:pPr>
            <w:r>
              <w:rPr>
                <w:rFonts w:ascii="Times New Roman" w:eastAsia="Times New Roman" w:hAnsi="Times New Roman" w:cs="Times New Roman"/>
                <w:b/>
                <w:i w:val="0"/>
                <w:color w:val="000000"/>
                <w:sz w:val="18"/>
                <w:u w:val="none"/>
              </w:rPr>
              <w:tab/>
              <w:t>49.40</w:t>
              <w:tab/>
              <w:t>%</w:t>
            </w:r>
          </w:p>
        </w:tc>
      </w:tr>
      <w:tr>
        <w:tblPrEx>
          <w:tblW w:w="10095" w:type="dxa"/>
          <w:tblInd w:w="0" w:type="dxa"/>
          <w:tblLayout w:type="fixed"/>
        </w:tblPrEx>
        <w:trPr>
          <w:trHeight w:hRule="exact" w:val="225"/>
        </w:trPr>
        <w:tc>
          <w:tcPr>
            <w:tcW w:w="49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75" w:after="30" w:line="240" w:lineRule="auto"/>
              <w:jc w:val="left"/>
            </w:pPr>
            <w:r>
              <w:rPr>
                <w:rFonts w:ascii="Times New Roman" w:eastAsia="Times New Roman" w:hAnsi="Times New Roman" w:cs="Times New Roman"/>
                <w:b/>
                <w:i w:val="0"/>
                <w:color w:val="000000"/>
                <w:sz w:val="18"/>
                <w:u w:val="none"/>
              </w:rPr>
              <w:t>Net loan charge-offs to average loans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0.99</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3.17</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1.55</w:t>
              <w:tab/>
              <w:t>%</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pageBreakBefore w:val="0"/>
              <w:spacing w:before="75" w:after="30" w:line="240" w:lineRule="auto"/>
              <w:jc w:val="righ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75" w:after="30" w:line="240" w:lineRule="auto"/>
              <w:jc w:val="right"/>
            </w:pPr>
            <w:r>
              <w:rPr>
                <w:rFonts w:ascii="Times New Roman" w:eastAsia="Times New Roman" w:hAnsi="Times New Roman" w:cs="Times New Roman"/>
                <w:b/>
                <w:i w:val="0"/>
                <w:color w:val="000000"/>
                <w:sz w:val="18"/>
                <w:u w:val="none"/>
              </w:rPr>
              <w:tab/>
              <w:t>0.60</w:t>
              <w:tab/>
              <w:t>%</w:t>
            </w:r>
          </w:p>
        </w:tc>
      </w:tr>
    </w:tbl>
    <w:p>
      <w:pPr>
        <w:pStyle w:val="Normal-wk"/>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
        </w:rPr>
      </w:pPr>
    </w:p>
    <w:p>
      <w:pPr>
        <w:pStyle w:val="Normal-wk"/>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
        </w:rPr>
        <w:sectPr>
          <w:pgSz w:w="12240" w:h="15840"/>
          <w:pgMar w:top="855" w:right="990" w:bottom="855" w:left="990" w:header="0" w:footer="0"/>
          <w:cols w:space="708"/>
        </w:sect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bookmarkStart w:id="3" w:name="Section7"/>
      <w:bookmarkEnd w:id="3"/>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0" w:line="288" w:lineRule="auto"/>
        <w:ind w:left="0" w:right="0" w:firstLine="0"/>
        <w:jc w:val="left"/>
        <w:outlineLvl w:val="0"/>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The table below lists the Top 10 Nonperforming Assets 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tbl>
      <w:tblPr>
        <w:tblStyle w:val="TableNormal0"/>
        <w:tblW w:w="10260" w:type="dxa"/>
        <w:jc w:val="left"/>
        <w:tblInd w:w="0" w:type="dxa"/>
        <w:tblLayout w:type="fixed"/>
      </w:tblPr>
      <w:tblGrid>
        <w:gridCol w:w="465"/>
        <w:gridCol w:w="3915"/>
        <w:gridCol w:w="75"/>
        <w:gridCol w:w="1395"/>
        <w:gridCol w:w="75"/>
        <w:gridCol w:w="1395"/>
        <w:gridCol w:w="75"/>
        <w:gridCol w:w="1395"/>
        <w:gridCol w:w="75"/>
        <w:gridCol w:w="1395"/>
      </w:tblGrid>
      <w:tr>
        <w:tblPrEx>
          <w:tblW w:w="10260" w:type="dxa"/>
          <w:tblInd w:w="0" w:type="dxa"/>
          <w:tblLayout w:type="fixed"/>
        </w:tblPrEx>
        <w:trPr>
          <w:trHeight w:hRule="exact" w:val="255"/>
        </w:trPr>
        <w:tc>
          <w:tcPr>
            <w:tcW w:w="10260" w:type="dxa"/>
            <w:gridSpan w:val="10"/>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Top 10 Non-Performing Assets  </w:t>
            </w:r>
          </w:p>
        </w:tc>
      </w:tr>
      <w:tr>
        <w:tblPrEx>
          <w:tblW w:w="10260" w:type="dxa"/>
          <w:tblInd w:w="0" w:type="dxa"/>
          <w:tblLayout w:type="fixed"/>
        </w:tblPrEx>
        <w:trPr>
          <w:trHeight w:hRule="exact" w:val="465"/>
        </w:trPr>
        <w:tc>
          <w:tcPr>
            <w:tcW w:w="46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91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Allocated Reserve</w:t>
            </w: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Origination Year</w:t>
            </w:r>
          </w:p>
        </w:tc>
        <w:tc>
          <w:tcPr>
            <w:tcW w:w="75" w:type="dxa"/>
            <w:tcBorders>
              <w:top w:val="single" w:sz="8" w:space="0" w:color="000000"/>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Location</w:t>
            </w:r>
          </w:p>
        </w:tc>
      </w:tr>
      <w:tr>
        <w:tblPrEx>
          <w:tblW w:w="10260" w:type="dxa"/>
          <w:tblInd w:w="0" w:type="dxa"/>
          <w:tblLayout w:type="fixed"/>
        </w:tblPrEx>
        <w:trPr>
          <w:trHeight w:hRule="exact" w:val="255"/>
        </w:trPr>
        <w:tc>
          <w:tcPr>
            <w:tcW w:w="46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39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Asset Description</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 </w:t>
            </w:r>
          </w:p>
        </w:tc>
      </w:tr>
      <w:tr>
        <w:tblPrEx>
          <w:tblW w:w="10260" w:type="dxa"/>
          <w:tblInd w:w="0" w:type="dxa"/>
          <w:tblLayout w:type="fixed"/>
        </w:tblPrEx>
        <w:trPr>
          <w:trHeight w:hRule="exact" w:val="255"/>
        </w:trPr>
        <w:tc>
          <w:tcPr>
            <w:tcW w:w="46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1</w:t>
            </w:r>
          </w:p>
        </w:tc>
        <w:tc>
          <w:tcPr>
            <w:tcW w:w="391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Independent Living Center</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774"/>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23,301</w:t>
              <w:tab/>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1089"/>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2021</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2</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Center</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14,488</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2019</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3</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Center</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9,138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4</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Lease</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5,711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2024</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Multistate</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5</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Apartment Complex</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5,208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9"/>
                <w:tab w:val="left" w:pos="1327"/>
              </w:tabs>
              <w:spacing w:before="75" w:after="30" w:line="240" w:lineRule="auto"/>
              <w:jc w:val="right"/>
            </w:pPr>
            <w:r>
              <w:rPr>
                <w:rFonts w:ascii="Times New Roman" w:eastAsia="Times New Roman" w:hAnsi="Times New Roman" w:cs="Times New Roman"/>
                <w:b w:val="0"/>
                <w:i w:val="0"/>
                <w:color w:val="000000"/>
                <w:sz w:val="18"/>
                <w:u w:val="none"/>
              </w:rPr>
              <w:tab/>
              <w:t>857</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6</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Farmland</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1,422</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7</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Real Estate</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1,308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28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2017</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8</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Building</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1,199</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21</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West Virginia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9</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Mobile Home Park</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1,164</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New Mexico</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10</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Poultry/Cattle Farm</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99"/>
                <w:tab w:val="left" w:pos="1327"/>
              </w:tabs>
              <w:spacing w:before="75" w:after="30" w:line="240" w:lineRule="auto"/>
              <w:jc w:val="right"/>
            </w:pPr>
            <w:r>
              <w:rPr>
                <w:rFonts w:ascii="Times New Roman" w:eastAsia="Times New Roman" w:hAnsi="Times New Roman" w:cs="Times New Roman"/>
                <w:b w:val="0"/>
                <w:i w:val="0"/>
                <w:color w:val="000000"/>
                <w:sz w:val="18"/>
                <w:u w:val="none"/>
              </w:rPr>
              <w:tab/>
              <w:t>997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pageBreakBefore w:val="0"/>
              <w:spacing w:before="55" w:after="30" w:line="240" w:lineRule="auto"/>
              <w:jc w:val="lef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74"/>
                <w:tab w:val="left" w:pos="1327"/>
              </w:tabs>
              <w:spacing w:before="55" w:after="30" w:line="240" w:lineRule="auto"/>
              <w:jc w:val="right"/>
            </w:pPr>
            <w:r>
              <w:rPr>
                <w:rFonts w:ascii="Times New Roman" w:eastAsia="Times New Roman" w:hAnsi="Times New Roman" w:cs="Times New Roman"/>
                <w:b/>
                <w:i w:val="0"/>
                <w:color w:val="000000"/>
                <w:sz w:val="18"/>
                <w:u w:val="none"/>
              </w:rPr>
              <w:t>$</w:t>
              <w:tab/>
              <w:t>63,936</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pageBreakBefore w:val="0"/>
              <w:spacing w:before="55" w:after="30" w:line="240" w:lineRule="auto"/>
              <w:jc w:val="right"/>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99"/>
                <w:tab w:val="left" w:pos="1327"/>
              </w:tabs>
              <w:spacing w:before="55" w:after="30" w:line="240" w:lineRule="auto"/>
              <w:jc w:val="right"/>
            </w:pPr>
            <w:r>
              <w:rPr>
                <w:rFonts w:ascii="Times New Roman" w:eastAsia="Times New Roman" w:hAnsi="Times New Roman" w:cs="Times New Roman"/>
                <w:b/>
                <w:i w:val="0"/>
                <w:color w:val="000000"/>
                <w:sz w:val="18"/>
                <w:u w:val="none"/>
              </w:rPr>
              <w:t>$</w:t>
              <w:tab/>
              <w:t>906</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pageBreakBefore w:val="0"/>
              <w:spacing w:before="5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pageBreakBefore w:val="0"/>
              <w:spacing w:before="55" w:after="30" w:line="240" w:lineRule="auto"/>
              <w:jc w:val="right"/>
            </w:pP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pageBreakBefore w:val="0"/>
              <w:spacing w:before="5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55" w:after="30" w:line="240" w:lineRule="auto"/>
              <w:jc w:val="center"/>
            </w:pP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The table below provides a status update as of </w:t>
      </w:r>
      <w:r>
        <w:rPr>
          <w:rFonts w:ascii="Times New Roman" w:eastAsia="Times New Roman" w:hAnsi="Times New Roman" w:cs="Times New Roman"/>
          <w:b w:val="0"/>
          <w:i w:val="0"/>
          <w:sz w:val="18"/>
        </w:rPr>
        <w:t>March</w:t>
      </w:r>
      <w:r>
        <w:rPr>
          <w:rFonts w:ascii="Times New Roman" w:eastAsia="Times New Roman" w:hAnsi="Times New Roman" w:cs="Times New Roman"/>
          <w:b w:val="0"/>
          <w:i w:val="0"/>
          <w:sz w:val="18"/>
        </w:rPr>
        <w:t xml:space="preserve"> 31, 202</w:t>
      </w:r>
      <w:r>
        <w:rPr>
          <w:rFonts w:ascii="Times New Roman" w:eastAsia="Times New Roman" w:hAnsi="Times New Roman" w:cs="Times New Roman"/>
          <w:b w:val="0"/>
          <w:i w:val="0"/>
          <w:sz w:val="18"/>
        </w:rPr>
        <w:t>6</w:t>
      </w:r>
      <w:r>
        <w:rPr>
          <w:rFonts w:ascii="Times New Roman" w:eastAsia="Times New Roman" w:hAnsi="Times New Roman" w:cs="Times New Roman"/>
          <w:b w:val="0"/>
          <w:i w:val="0"/>
          <w:sz w:val="18"/>
        </w:rPr>
        <w:t xml:space="preserve"> on the previously reported Top 10 Nonperforming Assets in </w:t>
      </w:r>
      <w:r>
        <w:rPr>
          <w:rFonts w:ascii="Times New Roman" w:eastAsia="Times New Roman" w:hAnsi="Times New Roman" w:cs="Times New Roman"/>
          <w:b w:val="0"/>
          <w:i w:val="0"/>
          <w:sz w:val="18"/>
        </w:rPr>
        <w:t>fourth</w:t>
      </w:r>
      <w:r>
        <w:rPr>
          <w:rFonts w:ascii="Times New Roman" w:eastAsia="Times New Roman" w:hAnsi="Times New Roman" w:cs="Times New Roman"/>
          <w:b w:val="0"/>
          <w:i w:val="0"/>
          <w:sz w:val="18"/>
        </w:rPr>
        <w:t xml:space="preserve"> quarter 2025.</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tbl>
      <w:tblPr>
        <w:tblStyle w:val="TableNormal0"/>
        <w:tblW w:w="10200" w:type="dxa"/>
        <w:jc w:val="left"/>
        <w:tblInd w:w="0" w:type="dxa"/>
        <w:tblLayout w:type="fixed"/>
      </w:tblPr>
      <w:tblGrid>
        <w:gridCol w:w="465"/>
        <w:gridCol w:w="3045"/>
        <w:gridCol w:w="75"/>
        <w:gridCol w:w="1395"/>
        <w:gridCol w:w="75"/>
        <w:gridCol w:w="1395"/>
        <w:gridCol w:w="75"/>
        <w:gridCol w:w="1590"/>
        <w:gridCol w:w="60"/>
        <w:gridCol w:w="2025"/>
      </w:tblGrid>
      <w:tr>
        <w:tblPrEx>
          <w:tblW w:w="10200" w:type="dxa"/>
          <w:tblInd w:w="0" w:type="dxa"/>
          <w:tblLayout w:type="fixed"/>
        </w:tblPrEx>
        <w:trPr>
          <w:trHeight w:hRule="exact" w:val="255"/>
        </w:trPr>
        <w:tc>
          <w:tcPr>
            <w:tcW w:w="10200" w:type="dxa"/>
            <w:gridSpan w:val="10"/>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Top 10 Nonperforming Assets  </w:t>
            </w:r>
          </w:p>
        </w:tc>
      </w:tr>
      <w:tr>
        <w:tblPrEx>
          <w:tblW w:w="10200" w:type="dxa"/>
          <w:tblInd w:w="0" w:type="dxa"/>
          <w:tblLayout w:type="fixed"/>
        </w:tblPrEx>
        <w:trPr>
          <w:trHeight w:hRule="exact" w:val="25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04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 </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28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December 31, 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20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March 31, 2026</w:t>
            </w:r>
          </w:p>
        </w:tc>
      </w:tr>
      <w:tr>
        <w:tblPrEx>
          <w:tblW w:w="10200" w:type="dxa"/>
          <w:tblInd w:w="0" w:type="dxa"/>
          <w:tblLayout w:type="fixed"/>
        </w:tblPrEx>
        <w:trPr>
          <w:trHeight w:hRule="exact" w:val="46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04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Allocated Reserve</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5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Location</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2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Status</w:t>
            </w:r>
          </w:p>
        </w:tc>
      </w:tr>
      <w:tr>
        <w:tblPrEx>
          <w:tblW w:w="10200" w:type="dxa"/>
          <w:tblInd w:w="0" w:type="dxa"/>
          <w:tblLayout w:type="fixed"/>
        </w:tblPrEx>
        <w:trPr>
          <w:trHeight w:hRule="exact" w:val="25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0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Asset Description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2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r>
      <w:tr>
        <w:tblPrEx>
          <w:tblW w:w="10200" w:type="dxa"/>
          <w:tblInd w:w="0" w:type="dxa"/>
          <w:tblLayout w:type="fixed"/>
        </w:tblPrEx>
        <w:trPr>
          <w:trHeight w:hRule="exact" w:val="255"/>
        </w:trPr>
        <w:tc>
          <w:tcPr>
            <w:tcW w:w="46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1</w:t>
            </w:r>
          </w:p>
        </w:tc>
        <w:tc>
          <w:tcPr>
            <w:tcW w:w="304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Independent Living Center OREO</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774"/>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23,301</w:t>
              <w:tab/>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1089"/>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Louisiana</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Remains in OREO</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2</w:t>
            </w:r>
          </w:p>
        </w:tc>
        <w:tc>
          <w:tcPr>
            <w:tcW w:w="30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Center</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14,910</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3</w:t>
            </w:r>
          </w:p>
        </w:tc>
        <w:tc>
          <w:tcPr>
            <w:tcW w:w="30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Center</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8,846</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4</w:t>
            </w:r>
          </w:p>
        </w:tc>
        <w:tc>
          <w:tcPr>
            <w:tcW w:w="30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Land Development OREO</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7,000</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Sold</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5</w:t>
            </w:r>
          </w:p>
        </w:tc>
        <w:tc>
          <w:tcPr>
            <w:tcW w:w="30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Lease</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5,711</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Multistate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6</w:t>
            </w:r>
          </w:p>
        </w:tc>
        <w:tc>
          <w:tcPr>
            <w:tcW w:w="30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Apartment Complex</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5,244</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9"/>
                <w:tab w:val="left" w:pos="1327"/>
              </w:tabs>
              <w:spacing w:before="75" w:after="30" w:line="240" w:lineRule="auto"/>
              <w:jc w:val="right"/>
            </w:pPr>
            <w:r>
              <w:rPr>
                <w:rFonts w:ascii="Times New Roman" w:eastAsia="Times New Roman" w:hAnsi="Times New Roman" w:cs="Times New Roman"/>
                <w:b w:val="0"/>
                <w:i w:val="0"/>
                <w:color w:val="000000"/>
                <w:sz w:val="18"/>
                <w:u w:val="none"/>
              </w:rPr>
              <w:tab/>
              <w:t>857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59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7</w:t>
            </w:r>
          </w:p>
        </w:tc>
        <w:tc>
          <w:tcPr>
            <w:tcW w:w="30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Farmland</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1,450</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8</w:t>
            </w:r>
          </w:p>
        </w:tc>
        <w:tc>
          <w:tcPr>
            <w:tcW w:w="30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Real Estate</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1,308</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28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9</w:t>
            </w:r>
          </w:p>
        </w:tc>
        <w:tc>
          <w:tcPr>
            <w:tcW w:w="30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Building</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1,281</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1,227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Kentucky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Charged off</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10</w:t>
            </w:r>
          </w:p>
        </w:tc>
        <w:tc>
          <w:tcPr>
            <w:tcW w:w="30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Building</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1,217</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21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9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West Virginia</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Remains Nonaccrual</w:t>
            </w:r>
          </w:p>
        </w:tc>
      </w:tr>
      <w:tr>
        <w:tblPrEx>
          <w:tblW w:w="1020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304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5" w:after="30" w:line="240" w:lineRule="auto"/>
              <w:jc w:val="lef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74"/>
                <w:tab w:val="left" w:pos="1327"/>
              </w:tabs>
              <w:spacing w:before="55" w:after="30" w:line="240" w:lineRule="auto"/>
              <w:jc w:val="right"/>
            </w:pPr>
            <w:r>
              <w:rPr>
                <w:rFonts w:ascii="Times New Roman" w:eastAsia="Times New Roman" w:hAnsi="Times New Roman" w:cs="Times New Roman"/>
                <w:b/>
                <w:i w:val="0"/>
                <w:color w:val="000000"/>
                <w:sz w:val="18"/>
                <w:u w:val="none"/>
              </w:rPr>
              <w:t>$</w:t>
              <w:tab/>
              <w:t>70,268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64"/>
                <w:tab w:val="left" w:pos="1327"/>
              </w:tabs>
              <w:spacing w:before="55" w:after="30" w:line="240" w:lineRule="auto"/>
              <w:jc w:val="right"/>
            </w:pPr>
            <w:r>
              <w:rPr>
                <w:rFonts w:ascii="Times New Roman" w:eastAsia="Times New Roman" w:hAnsi="Times New Roman" w:cs="Times New Roman"/>
                <w:b/>
                <w:i w:val="0"/>
                <w:color w:val="000000"/>
                <w:sz w:val="18"/>
                <w:u w:val="none"/>
              </w:rPr>
              <w:t>$</w:t>
              <w:tab/>
              <w:t>2,133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90" w:type="dxa"/>
            <w:tcBorders>
              <w:top w:val="nil"/>
              <w:left w:val="nil"/>
              <w:bottom w:val="nil"/>
              <w:right w:val="nil"/>
            </w:tcBorders>
            <w:shd w:val="clear" w:color="auto" w:fill="FFFFFF"/>
            <w:tcMar>
              <w:top w:w="0" w:type="dxa"/>
              <w:left w:w="0" w:type="dxa"/>
              <w:bottom w:w="0" w:type="dxa"/>
              <w:right w:w="15" w:type="dxa"/>
            </w:tcMar>
            <w:vAlign w:val="bottom"/>
          </w:tcPr>
          <w:p>
            <w:pPr>
              <w:pageBreakBefore w:val="0"/>
              <w:spacing w:before="55" w:after="30" w:line="240" w:lineRule="auto"/>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2025" w:type="dxa"/>
            <w:tcBorders>
              <w:top w:val="nil"/>
              <w:left w:val="nil"/>
              <w:bottom w:val="nil"/>
              <w:right w:val="nil"/>
            </w:tcBorders>
            <w:shd w:val="clear" w:color="auto" w:fill="FFFFFF"/>
            <w:tcMar>
              <w:top w:w="0" w:type="dxa"/>
              <w:left w:w="0" w:type="dxa"/>
              <w:bottom w:w="0" w:type="dxa"/>
              <w:right w:w="15" w:type="dxa"/>
            </w:tcMar>
            <w:vAlign w:val="bottom"/>
          </w:tcPr>
          <w:p>
            <w:pPr>
              <w:pageBreakBefore w:val="0"/>
              <w:spacing w:before="55" w:after="30" w:line="240" w:lineRule="auto"/>
              <w:jc w:val="right"/>
            </w:pP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The table</w:t>
      </w:r>
      <w:r>
        <w:rPr>
          <w:rFonts w:ascii="Times New Roman" w:eastAsia="Times New Roman" w:hAnsi="Times New Roman" w:cs="Times New Roman"/>
          <w:b w:val="0"/>
          <w:i w:val="0"/>
          <w:sz w:val="18"/>
        </w:rPr>
        <w:t>s</w:t>
      </w:r>
      <w:r>
        <w:rPr>
          <w:rFonts w:ascii="Times New Roman" w:eastAsia="Times New Roman" w:hAnsi="Times New Roman" w:cs="Times New Roman"/>
          <w:b w:val="0"/>
          <w:i w:val="0"/>
          <w:sz w:val="18"/>
        </w:rPr>
        <w:t xml:space="preserve"> below </w:t>
      </w:r>
      <w:r>
        <w:rPr>
          <w:rFonts w:ascii="Times New Roman" w:eastAsia="Times New Roman" w:hAnsi="Times New Roman" w:cs="Times New Roman"/>
          <w:b w:val="0"/>
          <w:i w:val="0"/>
          <w:sz w:val="18"/>
        </w:rPr>
        <w:t xml:space="preserve">list the top 10 </w:t>
      </w:r>
      <w:r>
        <w:rPr>
          <w:rFonts w:ascii="Times New Roman" w:eastAsia="Times New Roman" w:hAnsi="Times New Roman" w:cs="Times New Roman"/>
          <w:b w:val="0"/>
          <w:i w:val="0"/>
          <w:sz w:val="18"/>
        </w:rPr>
        <w:t xml:space="preserve">special mention and substandard </w:t>
      </w:r>
      <w:r>
        <w:rPr>
          <w:rFonts w:ascii="Times New Roman" w:eastAsia="Times New Roman" w:hAnsi="Times New Roman" w:cs="Times New Roman"/>
          <w:b w:val="0"/>
          <w:i w:val="0"/>
          <w:sz w:val="18"/>
        </w:rPr>
        <w:t xml:space="preserve">(excluding nonperforming) </w:t>
      </w:r>
      <w:r>
        <w:rPr>
          <w:rFonts w:ascii="Times New Roman" w:eastAsia="Times New Roman" w:hAnsi="Times New Roman" w:cs="Times New Roman"/>
          <w:b w:val="0"/>
          <w:i w:val="0"/>
          <w:sz w:val="18"/>
        </w:rPr>
        <w:t xml:space="preserve">relationships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p>
    <w:tbl>
      <w:tblPr>
        <w:tblStyle w:val="TableNormal0"/>
        <w:tblW w:w="10260" w:type="dxa"/>
        <w:jc w:val="left"/>
        <w:tblInd w:w="0" w:type="dxa"/>
        <w:tblLayout w:type="fixed"/>
      </w:tblPr>
      <w:tblGrid>
        <w:gridCol w:w="465"/>
        <w:gridCol w:w="3915"/>
        <w:gridCol w:w="75"/>
        <w:gridCol w:w="1395"/>
        <w:gridCol w:w="75"/>
        <w:gridCol w:w="1395"/>
        <w:gridCol w:w="75"/>
        <w:gridCol w:w="1395"/>
        <w:gridCol w:w="75"/>
        <w:gridCol w:w="1395"/>
      </w:tblGrid>
      <w:tr>
        <w:tblPrEx>
          <w:tblW w:w="10260" w:type="dxa"/>
          <w:tblInd w:w="0" w:type="dxa"/>
          <w:tblLayout w:type="fixed"/>
        </w:tblPrEx>
        <w:trPr>
          <w:trHeight w:hRule="exact" w:val="255"/>
        </w:trPr>
        <w:tc>
          <w:tcPr>
            <w:tcW w:w="10260" w:type="dxa"/>
            <w:gridSpan w:val="10"/>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Top 10 Special Mention Relationships</w:t>
            </w:r>
          </w:p>
        </w:tc>
      </w:tr>
      <w:tr>
        <w:tblPrEx>
          <w:tblW w:w="10260" w:type="dxa"/>
          <w:tblInd w:w="0" w:type="dxa"/>
          <w:tblLayout w:type="fixed"/>
        </w:tblPrEx>
        <w:trPr>
          <w:trHeight w:hRule="exact" w:val="46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1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Allocated Reserve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Origination Year(s)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Location</w:t>
            </w:r>
          </w:p>
        </w:tc>
      </w:tr>
      <w:tr>
        <w:tblPrEx>
          <w:tblW w:w="10260" w:type="dxa"/>
          <w:tblInd w:w="0" w:type="dxa"/>
          <w:tblLayout w:type="fixed"/>
        </w:tblPrEx>
        <w:trPr>
          <w:trHeight w:hRule="exact" w:val="25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Relationship Description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 </w:t>
            </w:r>
          </w:p>
        </w:tc>
      </w:tr>
      <w:tr>
        <w:tblPrEx>
          <w:tblW w:w="10260" w:type="dxa"/>
          <w:tblInd w:w="0" w:type="dxa"/>
          <w:tblLayout w:type="fixed"/>
        </w:tblPrEx>
        <w:trPr>
          <w:trHeight w:hRule="exact" w:val="255"/>
        </w:trPr>
        <w:tc>
          <w:tcPr>
            <w:tcW w:w="46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1</w:t>
            </w:r>
          </w:p>
        </w:tc>
        <w:tc>
          <w:tcPr>
            <w:tcW w:w="391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Apartment Complex</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774"/>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40,167</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1089"/>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2021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2</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Apartment Complex &amp; Hotel Property</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37,489</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Florida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3</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Manufacturing Company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35,009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2015-2024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4</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Facility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33,467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Alabama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5</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Hotel Properties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20,368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6</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Owner Occupied Commercial Real Estate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20,148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7</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Facility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16,682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8</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Multipurpose Commercial Real Estate Building</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16,506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9</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Warehouse Facility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15,919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10</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Hotel Properties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11,755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2022-2023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391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84"/>
                <w:tab w:val="left" w:pos="1327"/>
              </w:tabs>
              <w:spacing w:before="55" w:after="30" w:line="240" w:lineRule="auto"/>
              <w:jc w:val="right"/>
            </w:pPr>
            <w:r>
              <w:rPr>
                <w:rFonts w:ascii="Times New Roman" w:eastAsia="Times New Roman" w:hAnsi="Times New Roman" w:cs="Times New Roman"/>
                <w:b/>
                <w:i w:val="0"/>
                <w:color w:val="000000"/>
                <w:sz w:val="18"/>
                <w:u w:val="none"/>
              </w:rPr>
              <w:t>$</w:t>
              <w:tab/>
              <w:t>247,510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89"/>
                <w:tab w:val="left" w:pos="1327"/>
              </w:tabs>
              <w:spacing w:before="55" w:after="30" w:line="240" w:lineRule="auto"/>
              <w:jc w:val="right"/>
            </w:pPr>
            <w:r>
              <w:rPr>
                <w:rFonts w:ascii="Times New Roman" w:eastAsia="Times New Roman" w:hAnsi="Times New Roman" w:cs="Times New Roman"/>
                <w:b/>
                <w:i w:val="0"/>
                <w:color w:val="000000"/>
                <w:sz w:val="18"/>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Style w:val="TableNormal0"/>
        <w:tblW w:w="10260" w:type="dxa"/>
        <w:jc w:val="left"/>
        <w:tblInd w:w="0" w:type="dxa"/>
        <w:tblLayout w:type="fixed"/>
      </w:tblPr>
      <w:tblGrid>
        <w:gridCol w:w="465"/>
        <w:gridCol w:w="3915"/>
        <w:gridCol w:w="75"/>
        <w:gridCol w:w="1395"/>
        <w:gridCol w:w="75"/>
        <w:gridCol w:w="1395"/>
        <w:gridCol w:w="75"/>
        <w:gridCol w:w="1395"/>
        <w:gridCol w:w="75"/>
        <w:gridCol w:w="1395"/>
      </w:tblGrid>
      <w:tr>
        <w:tblPrEx>
          <w:tblW w:w="10260" w:type="dxa"/>
          <w:tblInd w:w="0" w:type="dxa"/>
          <w:tblLayout w:type="fixed"/>
        </w:tblPrEx>
        <w:trPr>
          <w:trHeight w:hRule="exact" w:val="255"/>
        </w:trPr>
        <w:tc>
          <w:tcPr>
            <w:tcW w:w="10260" w:type="dxa"/>
            <w:gridSpan w:val="10"/>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Top 10 Substandard Relationships (excludes nonperforming)</w:t>
            </w:r>
          </w:p>
        </w:tc>
      </w:tr>
      <w:tr>
        <w:tblPrEx>
          <w:tblW w:w="10260" w:type="dxa"/>
          <w:tblInd w:w="0" w:type="dxa"/>
          <w:tblLayout w:type="fixed"/>
        </w:tblPrEx>
        <w:trPr>
          <w:trHeight w:hRule="exact" w:val="46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1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Balance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Allocated Reserve</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Origination Year(s)</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Location</w:t>
            </w:r>
          </w:p>
        </w:tc>
      </w:tr>
      <w:tr>
        <w:tblPrEx>
          <w:tblW w:w="10260" w:type="dxa"/>
          <w:tblInd w:w="0" w:type="dxa"/>
          <w:tblLayout w:type="fixed"/>
        </w:tblPrEx>
        <w:trPr>
          <w:trHeight w:hRule="exact" w:val="255"/>
        </w:trPr>
        <w:tc>
          <w:tcPr>
            <w:tcW w:w="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9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Relationship Description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 </w:t>
            </w:r>
          </w:p>
        </w:tc>
      </w:tr>
      <w:tr>
        <w:tblPrEx>
          <w:tblW w:w="10260" w:type="dxa"/>
          <w:tblInd w:w="0" w:type="dxa"/>
          <w:tblLayout w:type="fixed"/>
        </w:tblPrEx>
        <w:trPr>
          <w:trHeight w:hRule="exact" w:val="285"/>
        </w:trPr>
        <w:tc>
          <w:tcPr>
            <w:tcW w:w="46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1</w:t>
            </w:r>
          </w:p>
        </w:tc>
        <w:tc>
          <w:tcPr>
            <w:tcW w:w="391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Medical Facilities</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774"/>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45,796</w:t>
              <w:tab/>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0" w:type="dxa"/>
              <w:bottom w:w="0" w:type="dxa"/>
              <w:right w:w="15" w:type="dxa"/>
            </w:tcMar>
            <w:vAlign w:val="bottom"/>
          </w:tcPr>
          <w:p>
            <w:pPr>
              <w:keepNext/>
              <w:pageBreakBefore w:val="0"/>
              <w:tabs>
                <w:tab w:val="left" w:pos="1089"/>
                <w:tab w:val="left" w:pos="1327"/>
              </w:tabs>
              <w:spacing w:before="55" w:after="30" w:line="240" w:lineRule="auto"/>
              <w:jc w:val="right"/>
            </w:pPr>
            <w:r>
              <w:rPr>
                <w:rFonts w:ascii="Times New Roman" w:eastAsia="Times New Roman" w:hAnsi="Times New Roman" w:cs="Times New Roman"/>
                <w:b w:val="0"/>
                <w:i w:val="0"/>
                <w:color w:val="000000"/>
                <w:sz w:val="18"/>
                <w:u w:val="none"/>
              </w:rPr>
              <w:t>$</w:t>
              <w:tab/>
              <w:t>—</w:t>
              <w:tab/>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2008-2022</w:t>
            </w:r>
          </w:p>
        </w:tc>
        <w:tc>
          <w:tcPr>
            <w:tcW w:w="75" w:type="dxa"/>
            <w:tcBorders>
              <w:top w:val="nil"/>
              <w:left w:val="nil"/>
              <w:bottom w:val="nil"/>
              <w:right w:val="nil"/>
            </w:tcBorders>
            <w:tcMar>
              <w:top w:w="0" w:type="dxa"/>
              <w:left w:w="38" w:type="dxa"/>
              <w:bottom w:w="0" w:type="dxa"/>
              <w:right w:w="38" w:type="dxa"/>
            </w:tcMar>
            <w:vAlign w:val="bottom"/>
          </w:tcPr>
          <w:p>
            <w:pPr>
              <w:keepNext/>
              <w:pageBreakBefore w:val="0"/>
              <w:spacing w:before="55" w:after="30" w:line="240" w:lineRule="auto"/>
              <w:jc w:val="left"/>
            </w:pPr>
          </w:p>
        </w:tc>
        <w:tc>
          <w:tcPr>
            <w:tcW w:w="139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2</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Owner Occupied Office Building</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31,173</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2020-2023</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Utah</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3</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Medical Facilities</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23,358</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2020-2021</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Arkansas</w:t>
            </w:r>
          </w:p>
        </w:tc>
      </w:tr>
      <w:tr>
        <w:tblPrEx>
          <w:tblW w:w="10260" w:type="dxa"/>
          <w:tblInd w:w="0" w:type="dxa"/>
          <w:tblLayout w:type="fixed"/>
        </w:tblPrEx>
        <w:trPr>
          <w:trHeight w:hRule="exact" w:val="46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4</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Construction Business</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21,975</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2022-2024</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 &amp; Texas</w:t>
            </w:r>
          </w:p>
        </w:tc>
      </w:tr>
      <w:tr>
        <w:tblPrEx>
          <w:tblW w:w="10260" w:type="dxa"/>
          <w:tblInd w:w="0" w:type="dxa"/>
          <w:tblLayout w:type="fixed"/>
        </w:tblPrEx>
        <w:trPr>
          <w:trHeight w:hRule="exact" w:val="46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5</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Facilities</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14,520</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2019-2022</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 &amp; Texas</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6</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Oil &amp; Gas Support</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14,450</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2015-2024</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7</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Food Processor</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13,513</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2020-2024</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Ohio</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8</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Commercial Retail Shopping Center</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13,336</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2020</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Oklahoma</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9</w:t>
            </w:r>
          </w:p>
        </w:tc>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Gas Station &amp; Convenience Store</w:t>
            </w:r>
          </w:p>
        </w:tc>
        <w:tc>
          <w:tcPr>
            <w:tcW w:w="75" w:type="dxa"/>
            <w:tcBorders>
              <w:top w:val="nil"/>
              <w:left w:val="nil"/>
              <w:bottom w:val="nil"/>
              <w:right w:val="nil"/>
            </w:tcBorders>
            <w:shd w:val="clear" w:color="auto" w:fill="FFFF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327"/>
              </w:tabs>
              <w:spacing w:before="75" w:after="30" w:line="240" w:lineRule="auto"/>
              <w:jc w:val="right"/>
            </w:pPr>
            <w:r>
              <w:rPr>
                <w:rFonts w:ascii="Times New Roman" w:eastAsia="Times New Roman" w:hAnsi="Times New Roman" w:cs="Times New Roman"/>
                <w:b w:val="0"/>
                <w:i w:val="0"/>
                <w:color w:val="000000"/>
                <w:sz w:val="18"/>
                <w:u w:val="none"/>
              </w:rPr>
              <w:tab/>
              <w:t>11,471</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w:t>
            </w:r>
          </w:p>
        </w:tc>
        <w:tc>
          <w:tcPr>
            <w:tcW w:w="7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Louisiana</w:t>
            </w:r>
          </w:p>
        </w:tc>
      </w:tr>
      <w:tr>
        <w:tblPrEx>
          <w:tblW w:w="10260" w:type="dxa"/>
          <w:tblInd w:w="0" w:type="dxa"/>
          <w:tblLayout w:type="fixed"/>
        </w:tblPrEx>
        <w:trPr>
          <w:trHeight w:hRule="exact" w:val="285"/>
        </w:trPr>
        <w:tc>
          <w:tcPr>
            <w:tcW w:w="4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10</w:t>
            </w:r>
          </w:p>
        </w:tc>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Assisted Living Facility</w:t>
            </w:r>
          </w:p>
        </w:tc>
        <w:tc>
          <w:tcPr>
            <w:tcW w:w="75" w:type="dxa"/>
            <w:tcBorders>
              <w:top w:val="nil"/>
              <w:left w:val="nil"/>
              <w:bottom w:val="nil"/>
              <w:right w:val="nil"/>
            </w:tcBorders>
            <w:shd w:val="clear" w:color="auto" w:fill="CCEEFF"/>
            <w:tcMar>
              <w:top w:w="0" w:type="dxa"/>
              <w:left w:w="38" w:type="dxa"/>
              <w:bottom w:w="0" w:type="dxa"/>
              <w:right w:w="38" w:type="dxa"/>
            </w:tcMar>
            <w:vAlign w:val="bottom"/>
          </w:tcPr>
          <w:p>
            <w:pPr>
              <w:keepNext/>
              <w:pageBreakBefore w:val="0"/>
              <w:spacing w:before="75" w:after="30" w:line="240" w:lineRule="auto"/>
              <w:jc w:val="lef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64"/>
                <w:tab w:val="left" w:pos="1327"/>
              </w:tabs>
              <w:spacing w:before="75" w:after="30" w:line="240" w:lineRule="auto"/>
              <w:jc w:val="right"/>
            </w:pPr>
            <w:r>
              <w:rPr>
                <w:rFonts w:ascii="Times New Roman" w:eastAsia="Times New Roman" w:hAnsi="Times New Roman" w:cs="Times New Roman"/>
                <w:b w:val="0"/>
                <w:i w:val="0"/>
                <w:color w:val="000000"/>
                <w:sz w:val="18"/>
                <w:u w:val="none"/>
              </w:rPr>
              <w:tab/>
              <w:t>9,535</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89"/>
                <w:tab w:val="left" w:pos="1327"/>
              </w:tabs>
              <w:spacing w:before="75" w:after="30" w:line="240" w:lineRule="auto"/>
              <w:jc w:val="right"/>
            </w:pPr>
            <w:r>
              <w:rPr>
                <w:rFonts w:ascii="Times New Roman" w:eastAsia="Times New Roman" w:hAnsi="Times New Roman" w:cs="Times New Roman"/>
                <w:b/>
                <w:i w:val="0"/>
                <w:color w:val="000000"/>
                <w:sz w:val="18"/>
                <w:u w:val="none"/>
              </w:rPr>
              <w:tab/>
              <w:t>—</w:t>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2023-2025</w:t>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3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center"/>
            </w:pPr>
            <w:r>
              <w:rPr>
                <w:rFonts w:ascii="Times New Roman" w:eastAsia="Times New Roman" w:hAnsi="Times New Roman" w:cs="Times New Roman"/>
                <w:b w:val="0"/>
                <w:i w:val="0"/>
                <w:color w:val="000000"/>
                <w:sz w:val="18"/>
                <w:u w:val="none"/>
              </w:rPr>
              <w:t>Texas</w:t>
            </w:r>
          </w:p>
        </w:tc>
      </w:tr>
      <w:tr>
        <w:tblPrEx>
          <w:tblW w:w="10260" w:type="dxa"/>
          <w:tblInd w:w="0" w:type="dxa"/>
          <w:tblLayout w:type="fixed"/>
        </w:tblPrEx>
        <w:trPr>
          <w:trHeight w:hRule="exact" w:val="255"/>
        </w:trPr>
        <w:tc>
          <w:tcPr>
            <w:tcW w:w="46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391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84"/>
                <w:tab w:val="left" w:pos="1327"/>
              </w:tabs>
              <w:spacing w:before="55" w:after="30" w:line="240" w:lineRule="auto"/>
              <w:jc w:val="right"/>
            </w:pPr>
            <w:r>
              <w:rPr>
                <w:rFonts w:ascii="Times New Roman" w:eastAsia="Times New Roman" w:hAnsi="Times New Roman" w:cs="Times New Roman"/>
                <w:b/>
                <w:i w:val="0"/>
                <w:color w:val="000000"/>
                <w:sz w:val="18"/>
                <w:u w:val="none"/>
              </w:rPr>
              <w:t>$</w:t>
              <w:tab/>
              <w:t>199,127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89"/>
                <w:tab w:val="left" w:pos="1327"/>
              </w:tabs>
              <w:spacing w:before="55" w:after="30" w:line="240" w:lineRule="auto"/>
              <w:jc w:val="right"/>
            </w:pPr>
            <w:r>
              <w:rPr>
                <w:rFonts w:ascii="Times New Roman" w:eastAsia="Times New Roman" w:hAnsi="Times New Roman" w:cs="Times New Roman"/>
                <w:b/>
                <w:i w:val="0"/>
                <w:color w:val="000000"/>
                <w:sz w:val="18"/>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
        </w:rPr>
        <w:sectPr>
          <w:type w:val="continuous"/>
          <w:pgSz w:w="12240" w:h="15840"/>
          <w:pgMar w:top="855" w:right="990" w:bottom="855" w:left="990" w:header="0" w:footer="0"/>
          <w:cols w:space="708"/>
        </w:sect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i/>
          <w:color w:val="FF0090"/>
          <w:sz w:val="18"/>
          <w:u w:val="none"/>
        </w:rPr>
      </w:pPr>
      <w:bookmarkStart w:id="4" w:name="Section8"/>
      <w:bookmarkEnd w:id="4"/>
    </w:p>
    <w:p>
      <w:pPr>
        <w:keepNext w:val="0"/>
        <w:keepLines w:val="0"/>
        <w:pageBreakBefore w:val="0"/>
        <w:widowControl/>
        <w:numPr>
          <w:ilvl w:val="0"/>
          <w:numId w:val="0"/>
        </w:numPr>
        <w:spacing w:before="0" w:after="0" w:line="288" w:lineRule="auto"/>
        <w:ind w:left="0" w:right="0" w:firstLine="0"/>
        <w:jc w:val="both"/>
        <w:outlineLvl w:val="0"/>
        <w:rPr>
          <w:rFonts w:ascii="Times New Roman" w:eastAsia="Times New Roman" w:hAnsi="Times New Roman" w:cs="Times New Roman"/>
          <w:b w:val="0"/>
          <w:i w:val="0"/>
          <w:color w:val="000000"/>
          <w:sz w:val="18"/>
          <w:highlight w:val="yellow"/>
          <w:u w:val="none"/>
        </w:rPr>
      </w:pPr>
      <w:r>
        <w:rPr>
          <w:rFonts w:ascii="Times New Roman" w:eastAsia="Times New Roman" w:hAnsi="Times New Roman" w:cs="Times New Roman"/>
          <w:b w:val="0"/>
          <w:i w:val="0"/>
          <w:sz w:val="18"/>
        </w:rPr>
        <w:t>The following table presents, for the periods indicated, the major categories of other noninterest expense:</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18"/>
          <w:u w:val="none"/>
        </w:rPr>
      </w:pPr>
    </w:p>
    <w:tbl>
      <w:tblPr>
        <w:tblStyle w:val="TableNormal0"/>
        <w:tblW w:w="10260" w:type="dxa"/>
        <w:tblInd w:w="0" w:type="dxa"/>
        <w:tblLayout w:type="fixed"/>
      </w:tblPr>
      <w:tblGrid>
        <w:gridCol w:w="7260"/>
        <w:gridCol w:w="60"/>
        <w:gridCol w:w="1440"/>
        <w:gridCol w:w="60"/>
        <w:gridCol w:w="1440"/>
      </w:tblGrid>
      <w:tr>
        <w:tblPrEx>
          <w:tblW w:w="10260" w:type="dxa"/>
          <w:tblInd w:w="0" w:type="dxa"/>
          <w:tblLayout w:type="fixed"/>
        </w:tblPrEx>
        <w:trPr>
          <w:trHeight w:hRule="exact" w:val="46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 </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94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March 31,</w:t>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both"/>
            </w:pPr>
            <w:r>
              <w:rPr>
                <w:rFonts w:ascii="Times New Roman" w:eastAsia="Times New Roman" w:hAnsi="Times New Roman" w:cs="Times New Roman"/>
                <w:b w:val="0"/>
                <w:i/>
                <w:color w:val="000000"/>
                <w:sz w:val="18"/>
                <w:u w:val="none"/>
              </w:rPr>
              <w:t>(in thousands)</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2026</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2025</w:t>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Other noninterest expense:</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Legal and professional fees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693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1,088</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Data processing</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325</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337</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ATM fees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358</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350</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Marketing and public relations</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222</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241</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Taxes - sales, capital, and franchise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516</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500</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Operating supplies</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72</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37</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Software expense and amortization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1,172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1,216</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Travel and lodging</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55</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72</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Telephone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94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91</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Amortization of core deposit intangibles</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Donations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67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58</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Net costs from other real estate and repossessions</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368</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50</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Regulatory assessment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1,808</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1,544</w:t>
              <w:tab/>
            </w:r>
          </w:p>
        </w:tc>
      </w:tr>
      <w:tr>
        <w:tblPrEx>
          <w:tblW w:w="10260" w:type="dxa"/>
          <w:tblInd w:w="0" w:type="dxa"/>
          <w:tblLayout w:type="fixed"/>
        </w:tblPrEx>
        <w:trPr>
          <w:trHeight w:hRule="exact" w:val="285"/>
        </w:trPr>
        <w:tc>
          <w:tcPr>
            <w:tcW w:w="726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989</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1,178</w:t>
              <w:tab/>
            </w:r>
          </w:p>
        </w:tc>
      </w:tr>
      <w:tr>
        <w:tblPrEx>
          <w:tblW w:w="10260" w:type="dxa"/>
          <w:tblInd w:w="0" w:type="dxa"/>
          <w:tblLayout w:type="fixed"/>
        </w:tblPrEx>
        <w:trPr>
          <w:trHeight w:hRule="exact" w:val="285"/>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18"/>
                <w:u w:val="none"/>
              </w:rPr>
              <w:t>Total other noninterest expense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9"/>
                <w:tab w:val="left" w:pos="1372"/>
              </w:tabs>
              <w:spacing w:before="55" w:after="30" w:line="240" w:lineRule="auto"/>
              <w:jc w:val="right"/>
            </w:pPr>
            <w:r>
              <w:rPr>
                <w:rFonts w:ascii="Times New Roman" w:eastAsia="Times New Roman" w:hAnsi="Times New Roman" w:cs="Times New Roman"/>
                <w:b/>
                <w:i w:val="0"/>
                <w:color w:val="000000"/>
                <w:sz w:val="18"/>
                <w:u w:val="none"/>
              </w:rPr>
              <w:t>$</w:t>
              <w:tab/>
              <w:t>6,913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9"/>
                <w:tab w:val="left" w:pos="1372"/>
              </w:tabs>
              <w:spacing w:before="55" w:after="30" w:line="240" w:lineRule="auto"/>
              <w:jc w:val="right"/>
            </w:pPr>
            <w:r>
              <w:rPr>
                <w:rFonts w:ascii="Times New Roman" w:eastAsia="Times New Roman" w:hAnsi="Times New Roman" w:cs="Times New Roman"/>
                <w:b/>
                <w:i w:val="0"/>
                <w:color w:val="000000"/>
                <w:sz w:val="18"/>
                <w:u w:val="none"/>
              </w:rPr>
              <w:t>$</w:t>
              <w:tab/>
              <w:t>6,936</w:t>
              <w:tab/>
            </w:r>
          </w:p>
        </w:tc>
      </w:tr>
    </w:tbl>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20"/>
          <w:u w:val="none"/>
        </w:rPr>
      </w:pPr>
    </w:p>
    <w:p>
      <w:pPr>
        <w:pStyle w:val="Normal-wk"/>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20"/>
          <w:u w:val="none"/>
        </w:rPr>
      </w:pPr>
      <w:r>
        <w:rPr>
          <w:rFonts w:ascii="Times New Roman" w:eastAsia="Times New Roman" w:hAnsi="Times New Roman" w:cs="Times New Roman"/>
          <w:b w:val="0"/>
          <w:i w:val="0"/>
          <w:color w:val="FF0090"/>
          <w:sz w:val="20"/>
          <w:u w:val="none"/>
        </w:rPr>
        <w:t xml:space="preserve">  </w:t>
      </w:r>
      <w:r>
        <w:rPr>
          <w:rFonts w:ascii="Times New Roman" w:eastAsia="Times New Roman" w:hAnsi="Times New Roman" w:cs="Times New Roman"/>
          <w:b w:val="0"/>
          <w:i w:val="0"/>
          <w:sz w:val="18"/>
        </w:rPr>
        <w:t>The following table presents, for the periods indicated, the major categories of other noninterest expense:</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18"/>
          <w:u w:val="none"/>
        </w:rPr>
      </w:pPr>
    </w:p>
    <w:tbl>
      <w:tblPr>
        <w:tblStyle w:val="TableNormal0"/>
        <w:tblW w:w="10200" w:type="dxa"/>
        <w:jc w:val="center"/>
        <w:tblLayout w:type="fixed"/>
      </w:tblPr>
      <w:tblGrid>
        <w:gridCol w:w="4154"/>
        <w:gridCol w:w="75"/>
        <w:gridCol w:w="1434"/>
        <w:gridCol w:w="75"/>
        <w:gridCol w:w="1434"/>
        <w:gridCol w:w="80"/>
        <w:gridCol w:w="1434"/>
        <w:gridCol w:w="80"/>
        <w:gridCol w:w="1434"/>
      </w:tblGrid>
      <w:tr>
        <w:tblPrEx>
          <w:tblW w:w="10200" w:type="dxa"/>
          <w:tblLayout w:type="fixed"/>
        </w:tblPrEx>
        <w:trPr>
          <w:trHeight w:hRule="exact" w:val="64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March 31,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December 31,</w:t>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center"/>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September 30,</w:t>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center"/>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Three Months Ended June 30,</w:t>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both"/>
            </w:pPr>
            <w:r>
              <w:rPr>
                <w:rFonts w:ascii="Times New Roman" w:eastAsia="Times New Roman" w:hAnsi="Times New Roman" w:cs="Times New Roman"/>
                <w:b w:val="0"/>
                <w:i/>
                <w:color w:val="000000"/>
                <w:sz w:val="18"/>
                <w:u w:val="none"/>
              </w:rPr>
              <w:t>(in thousands)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2025</w:t>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55" w:after="30" w:line="240" w:lineRule="auto"/>
              <w:jc w:val="left"/>
            </w:pP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2025</w:t>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55" w:after="30" w:line="240" w:lineRule="auto"/>
              <w:jc w:val="left"/>
            </w:pP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2025</w:t>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Other noninterest expense: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55" w:after="30" w:line="240" w:lineRule="auto"/>
              <w:jc w:val="left"/>
            </w:pPr>
          </w:p>
        </w:tc>
        <w:tc>
          <w:tcPr>
            <w:tcW w:w="144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55" w:after="30" w:line="240" w:lineRule="auto"/>
              <w:jc w:val="left"/>
            </w:pPr>
          </w:p>
        </w:tc>
        <w:tc>
          <w:tcPr>
            <w:tcW w:w="144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Legal and professional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693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665</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988</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671</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Data processing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325</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331</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336</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349</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ATM fees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432</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390</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502</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Marketing and public relations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222</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151</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163</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Taxes - sales, capital, and franchise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516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237</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542</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543</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Operating supplies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72</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48</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66</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49</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Software expense and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1,172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1,289</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1,211</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1,188</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Travel and lodging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55</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133</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88</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126</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Telephone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91</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88</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104</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Amortization of core deposit intangibles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174</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Donations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33</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51</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82</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Net costs from other real estate and repossessions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368</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815</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13</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nil"/>
              <w:right w:val="nil"/>
            </w:tcBorders>
            <w:tcMar>
              <w:top w:w="0" w:type="dxa"/>
              <w:left w:w="0" w:type="dxa"/>
              <w:bottom w:w="0" w:type="dxa"/>
              <w:right w:w="15" w:type="dxa"/>
            </w:tcMar>
            <w:vAlign w:val="bottom"/>
          </w:tcPr>
          <w:p>
            <w:pPr>
              <w:keepNext/>
              <w:pageBreakBefore w:val="0"/>
              <w:tabs>
                <w:tab w:val="left" w:pos="1134"/>
                <w:tab w:val="left" w:pos="1372"/>
              </w:tabs>
              <w:spacing w:before="75" w:after="30" w:line="240" w:lineRule="auto"/>
              <w:jc w:val="right"/>
            </w:pPr>
            <w:r>
              <w:rPr>
                <w:rFonts w:ascii="Times New Roman" w:eastAsia="Times New Roman" w:hAnsi="Times New Roman" w:cs="Times New Roman"/>
                <w:b w:val="0"/>
                <w:i w:val="0"/>
                <w:color w:val="000000"/>
                <w:sz w:val="18"/>
                <w:u w:val="none"/>
              </w:rPr>
              <w:tab/>
              <w:t>24</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Regulatory assessment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1,808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1,778</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1,777</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75" w:after="30" w:line="240" w:lineRule="auto"/>
              <w:jc w:val="right"/>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1,609</w:t>
              <w:tab/>
            </w:r>
          </w:p>
        </w:tc>
      </w:tr>
      <w:tr>
        <w:tblPrEx>
          <w:tblW w:w="10200" w:type="dxa"/>
          <w:tblLayout w:type="fixed"/>
        </w:tblPrEx>
        <w:trPr>
          <w:trHeight w:hRule="exact" w:val="285"/>
        </w:trPr>
        <w:tc>
          <w:tcPr>
            <w:tcW w:w="4170"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Other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1044"/>
                <w:tab w:val="left" w:pos="1372"/>
              </w:tabs>
              <w:spacing w:before="75" w:after="30" w:line="240" w:lineRule="auto"/>
              <w:jc w:val="right"/>
            </w:pPr>
            <w:r>
              <w:rPr>
                <w:rFonts w:ascii="Times New Roman" w:eastAsia="Times New Roman" w:hAnsi="Times New Roman" w:cs="Times New Roman"/>
                <w:b w:val="0"/>
                <w:i w:val="0"/>
                <w:color w:val="000000"/>
                <w:sz w:val="18"/>
                <w:u w:val="none"/>
              </w:rPr>
              <w:tab/>
              <w:t>989</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1,437</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1,330</w:t>
              <w:tab/>
            </w:r>
          </w:p>
        </w:tc>
        <w:tc>
          <w:tcPr>
            <w:tcW w:w="60" w:type="dxa"/>
            <w:tcBorders>
              <w:top w:val="nil"/>
              <w:left w:val="nil"/>
              <w:bottom w:val="nil"/>
              <w:right w:val="nil"/>
            </w:tcBorders>
            <w:tcMar>
              <w:top w:w="0" w:type="dxa"/>
              <w:left w:w="30" w:type="dxa"/>
              <w:bottom w:w="0" w:type="dxa"/>
              <w:right w:w="30" w:type="dxa"/>
            </w:tcMar>
            <w:vAlign w:val="bottom"/>
          </w:tcPr>
          <w:p>
            <w:pPr>
              <w:keepNext/>
              <w:pageBreakBefore w:val="0"/>
              <w:spacing w:before="75" w:after="30" w:line="240" w:lineRule="auto"/>
              <w:jc w:val="left"/>
            </w:pPr>
          </w:p>
        </w:tc>
        <w:tc>
          <w:tcPr>
            <w:tcW w:w="1440"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909"/>
                <w:tab w:val="left" w:pos="1372"/>
              </w:tabs>
              <w:spacing w:before="75" w:after="30" w:line="240" w:lineRule="auto"/>
              <w:jc w:val="right"/>
            </w:pPr>
            <w:r>
              <w:rPr>
                <w:rFonts w:ascii="Times New Roman" w:eastAsia="Times New Roman" w:hAnsi="Times New Roman" w:cs="Times New Roman"/>
                <w:b w:val="0"/>
                <w:i w:val="0"/>
                <w:color w:val="000000"/>
                <w:sz w:val="18"/>
                <w:u w:val="none"/>
              </w:rPr>
              <w:tab/>
              <w:t>1,235</w:t>
              <w:tab/>
            </w:r>
          </w:p>
        </w:tc>
      </w:tr>
      <w:tr>
        <w:tblPrEx>
          <w:tblW w:w="10200" w:type="dxa"/>
          <w:tblLayout w:type="fixed"/>
        </w:tblPrEx>
        <w:trPr>
          <w:trHeight w:hRule="exact" w:val="285"/>
        </w:trPr>
        <w:tc>
          <w:tcPr>
            <w:tcW w:w="417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5" w:after="30" w:line="240" w:lineRule="auto"/>
              <w:jc w:val="left"/>
            </w:pPr>
            <w:r>
              <w:rPr>
                <w:rFonts w:ascii="Times New Roman" w:eastAsia="Times New Roman" w:hAnsi="Times New Roman" w:cs="Times New Roman"/>
                <w:b/>
                <w:i w:val="0"/>
                <w:color w:val="000000"/>
                <w:sz w:val="18"/>
                <w:u w:val="none"/>
              </w:rPr>
              <w:t>Total other noninterest expense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9"/>
                <w:tab w:val="left" w:pos="1372"/>
              </w:tabs>
              <w:spacing w:before="55" w:after="30" w:line="240" w:lineRule="auto"/>
              <w:jc w:val="right"/>
            </w:pPr>
            <w:r>
              <w:rPr>
                <w:rFonts w:ascii="Times New Roman" w:eastAsia="Times New Roman" w:hAnsi="Times New Roman" w:cs="Times New Roman"/>
                <w:b/>
                <w:i w:val="0"/>
                <w:color w:val="000000"/>
                <w:sz w:val="18"/>
                <w:u w:val="none"/>
              </w:rPr>
              <w:t>$</w:t>
              <w:tab/>
              <w:t>6,913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9"/>
                <w:tab w:val="left" w:pos="1372"/>
              </w:tabs>
              <w:spacing w:before="55" w:after="30" w:line="240" w:lineRule="auto"/>
              <w:jc w:val="right"/>
            </w:pPr>
            <w:r>
              <w:rPr>
                <w:rFonts w:ascii="Times New Roman" w:eastAsia="Times New Roman" w:hAnsi="Times New Roman" w:cs="Times New Roman"/>
                <w:b/>
                <w:i w:val="0"/>
                <w:color w:val="000000"/>
                <w:sz w:val="18"/>
                <w:u w:val="none"/>
              </w:rPr>
              <w:t>$</w:t>
              <w:tab/>
              <w:t>7,637</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5" w:after="30" w:line="240" w:lineRule="auto"/>
              <w:jc w:val="right"/>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9"/>
                <w:tab w:val="left" w:pos="1372"/>
              </w:tabs>
              <w:spacing w:before="55" w:after="30" w:line="240" w:lineRule="auto"/>
              <w:jc w:val="right"/>
            </w:pPr>
            <w:r>
              <w:rPr>
                <w:rFonts w:ascii="Times New Roman" w:eastAsia="Times New Roman" w:hAnsi="Times New Roman" w:cs="Times New Roman"/>
                <w:b/>
                <w:i w:val="0"/>
                <w:color w:val="000000"/>
                <w:sz w:val="18"/>
                <w:u w:val="none"/>
              </w:rPr>
              <w:t>$</w:t>
              <w:tab/>
              <w:t>7,205</w:t>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pPr>
              <w:pageBreakBefore w:val="0"/>
              <w:spacing w:before="55" w:after="30" w:line="240" w:lineRule="auto"/>
              <w:jc w:val="right"/>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9"/>
                <w:tab w:val="left" w:pos="1372"/>
              </w:tabs>
              <w:spacing w:before="55" w:after="30" w:line="240" w:lineRule="auto"/>
              <w:jc w:val="right"/>
            </w:pPr>
            <w:r>
              <w:rPr>
                <w:rFonts w:ascii="Times New Roman" w:eastAsia="Times New Roman" w:hAnsi="Times New Roman" w:cs="Times New Roman"/>
                <w:b/>
                <w:i w:val="0"/>
                <w:color w:val="000000"/>
                <w:sz w:val="18"/>
                <w:u w:val="none"/>
              </w:rPr>
              <w:t>$</w:t>
              <w:tab/>
              <w:t>6,819</w:t>
              <w:tab/>
            </w:r>
          </w:p>
        </w:tc>
      </w:tr>
    </w:tb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FF0090"/>
          <w:sz w:val="2"/>
          <w:u w:val="none"/>
        </w:rPr>
      </w:pPr>
    </w:p>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FF0090"/>
          <w:sz w:val="2"/>
          <w:u w:val="none"/>
        </w:rPr>
        <w:sectPr>
          <w:pgSz w:w="12240" w:h="15840"/>
          <w:pgMar w:top="855" w:right="990" w:bottom="855" w:left="990" w:header="0" w:footer="0"/>
          <w:cols w:space="708"/>
        </w:sectPr>
      </w:pPr>
    </w:p>
    <w:p>
      <w:pPr>
        <w:keepNext w:val="0"/>
        <w:keepLines w:val="0"/>
        <w:pageBreakBefore w:val="0"/>
        <w:widowControl/>
        <w:numPr>
          <w:ilvl w:val="0"/>
          <w:numId w:val="0"/>
        </w:numPr>
        <w:spacing w:before="0" w:after="0" w:line="288" w:lineRule="auto"/>
        <w:ind w:left="0" w:right="0" w:firstLine="0"/>
        <w:jc w:val="left"/>
        <w:outlineLvl w:val="0"/>
        <w:rPr>
          <w:rFonts w:ascii="Times New Roman" w:eastAsia="Times New Roman" w:hAnsi="Times New Roman" w:cs="Times New Roman"/>
          <w:b/>
          <w:i w:val="0"/>
          <w:sz w:val="18"/>
        </w:rPr>
      </w:pPr>
      <w:bookmarkStart w:id="5" w:name="Section9"/>
      <w:bookmarkEnd w:id="5"/>
      <w:r>
        <w:rPr>
          <w:rFonts w:ascii="Times New Roman" w:eastAsia="Times New Roman" w:hAnsi="Times New Roman" w:cs="Times New Roman"/>
          <w:b/>
          <w:i w:val="0"/>
          <w:sz w:val="18"/>
        </w:rPr>
        <w:t>Non-GAAP Financial Measures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Our accounting and reporting policies conform to accounting principles generally accepted in the United States, or GAAP, and the prevailing practices in the banking industry. However, we also evaluate our performance based on certain additional metrics. Tangible book value per share and the ratio of tangible equity to tangible assets are not financial measures recognized under GAAP and, therefore, are considered non-GAAP financial measures.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Our management, banking regulators, many financial analysts and other investors use these non-GAAP financial measures to compare the capital adequacy of banking organizations with significant amounts of preferred equity and/or goodwill or other intangible assets, which typically stem from the use of the purchase accounting method of accounting for mergers and acquisitions. Tangible equity, tangible assets, tangible book value per share or related measures should not be considered in isolation or as a substitute for total shareholders' equity, total assets, book value per share or any other measure calculated in accordance with GAAP. Moreover, the manner in which we calculate tangible equity, tangible assets, tangible book value per share and any other related measures may differ from that of other companies reporting measures with similar names.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The following table reconciles, as of the dates set forth below, shareholders' equity (on a GAAP basis) to tangible equity and total assets (on a GAAP basis) to tangible assets and calculates our tangible book value per share.</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FF0090"/>
          <w:sz w:val="18"/>
          <w:u w:val="none"/>
        </w:rPr>
      </w:pPr>
    </w:p>
    <w:tbl>
      <w:tblPr>
        <w:tblStyle w:val="TableNormal0"/>
        <w:tblW w:w="10140" w:type="dxa"/>
        <w:tblInd w:w="0" w:type="dxa"/>
        <w:tblLayout w:type="fixed"/>
      </w:tblPr>
      <w:tblGrid>
        <w:gridCol w:w="3285"/>
        <w:gridCol w:w="75"/>
        <w:gridCol w:w="1440"/>
        <w:gridCol w:w="75"/>
        <w:gridCol w:w="1260"/>
        <w:gridCol w:w="75"/>
        <w:gridCol w:w="1260"/>
        <w:gridCol w:w="75"/>
        <w:gridCol w:w="1260"/>
        <w:gridCol w:w="75"/>
        <w:gridCol w:w="1260"/>
      </w:tblGrid>
      <w:tr>
        <w:tblPrEx>
          <w:tblW w:w="10140" w:type="dxa"/>
          <w:tblInd w:w="0" w:type="dxa"/>
          <w:tblLayout w:type="fixed"/>
        </w:tblPrEx>
        <w:trPr>
          <w:trHeight w:hRule="exact" w:val="255"/>
        </w:trPr>
        <w:tc>
          <w:tcPr>
            <w:tcW w:w="328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At March 31,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265" w:type="dxa"/>
            <w:gridSpan w:val="7"/>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center"/>
            </w:pPr>
            <w:r>
              <w:rPr>
                <w:rFonts w:ascii="Times New Roman" w:eastAsia="Times New Roman" w:hAnsi="Times New Roman" w:cs="Times New Roman"/>
                <w:b/>
                <w:i w:val="0"/>
                <w:color w:val="000000"/>
                <w:sz w:val="18"/>
                <w:u w:val="none"/>
              </w:rPr>
              <w:t>At December 31,</w:t>
            </w:r>
          </w:p>
        </w:tc>
      </w:tr>
      <w:tr>
        <w:tblPrEx>
          <w:tblW w:w="10140" w:type="dxa"/>
          <w:tblInd w:w="0" w:type="dxa"/>
          <w:tblLayout w:type="fixed"/>
        </w:tblPrEx>
        <w:trPr>
          <w:trHeight w:hRule="exact" w:val="255"/>
        </w:trPr>
        <w:tc>
          <w:tcPr>
            <w:tcW w:w="328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color w:val="000000"/>
                <w:sz w:val="18"/>
                <w:u w:val="none"/>
              </w:rPr>
              <w:t>(in thousands except for share data and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2024</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2023</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center"/>
            </w:pPr>
            <w:r>
              <w:rPr>
                <w:rFonts w:ascii="Times New Roman" w:eastAsia="Times New Roman" w:hAnsi="Times New Roman" w:cs="Times New Roman"/>
                <w:b/>
                <w:i w:val="0"/>
                <w:color w:val="000000"/>
                <w:sz w:val="18"/>
                <w:u w:val="none"/>
              </w:rPr>
              <w:t>2022</w:t>
            </w:r>
          </w:p>
        </w:tc>
      </w:tr>
      <w:tr>
        <w:tblPrEx>
          <w:tblW w:w="10140" w:type="dxa"/>
          <w:tblInd w:w="0" w:type="dxa"/>
          <w:tblLayout w:type="fixed"/>
        </w:tblPrEx>
        <w:trPr>
          <w:trHeight w:hRule="exact" w:val="255"/>
        </w:trPr>
        <w:tc>
          <w:tcPr>
            <w:tcW w:w="3285" w:type="dxa"/>
            <w:tcBorders>
              <w:top w:val="nil"/>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Tangible Common Equity</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Total shareholders'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223,990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226,218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255,049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249,631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234,991</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Adjustments: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Preferred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39"/>
                <w:tab w:val="left" w:pos="1372"/>
              </w:tabs>
              <w:spacing w:before="75" w:after="30" w:line="240" w:lineRule="auto"/>
              <w:jc w:val="right"/>
            </w:pPr>
            <w:r>
              <w:rPr>
                <w:rFonts w:ascii="Times New Roman" w:eastAsia="Times New Roman" w:hAnsi="Times New Roman" w:cs="Times New Roman"/>
                <w:b w:val="0"/>
                <w:i w:val="0"/>
                <w:color w:val="000000"/>
                <w:sz w:val="18"/>
                <w:u w:val="none"/>
              </w:rPr>
              <w:tab/>
              <w:t>33,058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33,058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33,058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33,058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33,058</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Goodwill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4"/>
                <w:tab w:val="left" w:pos="137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19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12,900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12,900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12,900</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Acquisition intangibles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9"/>
                <w:tab w:val="left" w:pos="1372"/>
              </w:tabs>
              <w:spacing w:before="75" w:after="30" w:line="240" w:lineRule="auto"/>
              <w:jc w:val="right"/>
            </w:pPr>
            <w:r>
              <w:rPr>
                <w:rFonts w:ascii="Times New Roman" w:eastAsia="Times New Roman" w:hAnsi="Times New Roman" w:cs="Times New Roman"/>
                <w:b w:val="0"/>
                <w:i w:val="0"/>
                <w:color w:val="000000"/>
                <w:sz w:val="18"/>
                <w:u w:val="none"/>
              </w:rPr>
              <w:tab/>
              <w:t>2,091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2,266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2,962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3,658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4,355</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Other intangibles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64"/>
                <w:tab w:val="left" w:pos="137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19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19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19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19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Tangible common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49"/>
                <w:tab w:val="left" w:pos="1372"/>
              </w:tabs>
              <w:spacing w:before="55" w:after="30" w:line="240" w:lineRule="auto"/>
              <w:jc w:val="right"/>
            </w:pPr>
            <w:r>
              <w:rPr>
                <w:rFonts w:ascii="Times New Roman" w:eastAsia="Times New Roman" w:hAnsi="Times New Roman" w:cs="Times New Roman"/>
                <w:b/>
                <w:i w:val="0"/>
                <w:color w:val="000000"/>
                <w:sz w:val="18"/>
                <w:u w:val="none"/>
              </w:rPr>
              <w:t>$</w:t>
              <w:tab/>
              <w:t>188,741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55" w:after="30" w:line="240" w:lineRule="auto"/>
              <w:jc w:val="right"/>
            </w:pPr>
            <w:r>
              <w:rPr>
                <w:rFonts w:ascii="Times New Roman" w:eastAsia="Times New Roman" w:hAnsi="Times New Roman" w:cs="Times New Roman"/>
                <w:b/>
                <w:i w:val="0"/>
                <w:color w:val="000000"/>
                <w:sz w:val="18"/>
                <w:u w:val="none"/>
              </w:rPr>
              <w:t>$</w:t>
              <w:tab/>
              <w:t>190,794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55" w:after="30" w:line="240" w:lineRule="auto"/>
              <w:jc w:val="right"/>
            </w:pPr>
            <w:r>
              <w:rPr>
                <w:rFonts w:ascii="Times New Roman" w:eastAsia="Times New Roman" w:hAnsi="Times New Roman" w:cs="Times New Roman"/>
                <w:b/>
                <w:i w:val="0"/>
                <w:color w:val="000000"/>
                <w:sz w:val="18"/>
                <w:u w:val="none"/>
              </w:rPr>
              <w:t>$</w:t>
              <w:tab/>
              <w:t>206,029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55" w:after="30" w:line="240" w:lineRule="auto"/>
              <w:jc w:val="right"/>
            </w:pPr>
            <w:r>
              <w:rPr>
                <w:rFonts w:ascii="Times New Roman" w:eastAsia="Times New Roman" w:hAnsi="Times New Roman" w:cs="Times New Roman"/>
                <w:b/>
                <w:i w:val="0"/>
                <w:color w:val="000000"/>
                <w:sz w:val="18"/>
                <w:u w:val="none"/>
              </w:rPr>
              <w:t>$</w:t>
              <w:tab/>
              <w:t>199,915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69"/>
                <w:tab w:val="left" w:pos="1192"/>
              </w:tabs>
              <w:spacing w:before="55" w:after="30" w:line="240" w:lineRule="auto"/>
              <w:jc w:val="right"/>
            </w:pPr>
            <w:r>
              <w:rPr>
                <w:rFonts w:ascii="Times New Roman" w:eastAsia="Times New Roman" w:hAnsi="Times New Roman" w:cs="Times New Roman"/>
                <w:b/>
                <w:i w:val="0"/>
                <w:color w:val="000000"/>
                <w:sz w:val="18"/>
                <w:u w:val="none"/>
              </w:rPr>
              <w:t>$</w:t>
              <w:tab/>
              <w:t>184,678</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15" w:after="30" w:line="240"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Common shares outstanding</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24"/>
                <w:tab w:val="left" w:pos="1372"/>
              </w:tabs>
              <w:spacing w:before="15" w:after="30" w:line="240" w:lineRule="auto"/>
              <w:jc w:val="right"/>
            </w:pPr>
            <w:r>
              <w:rPr>
                <w:rFonts w:ascii="Times New Roman" w:eastAsia="Times New Roman" w:hAnsi="Times New Roman" w:cs="Times New Roman"/>
                <w:b w:val="0"/>
                <w:i w:val="0"/>
                <w:color w:val="000000"/>
                <w:sz w:val="18"/>
                <w:u w:val="none"/>
              </w:rPr>
              <w:tab/>
              <w:t>16,028,044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44"/>
                <w:tab w:val="left" w:pos="1192"/>
              </w:tabs>
              <w:spacing w:before="15" w:after="30" w:line="240" w:lineRule="auto"/>
              <w:jc w:val="right"/>
            </w:pPr>
            <w:r>
              <w:rPr>
                <w:rFonts w:ascii="Times New Roman" w:eastAsia="Times New Roman" w:hAnsi="Times New Roman" w:cs="Times New Roman"/>
                <w:b w:val="0"/>
                <w:i w:val="0"/>
                <w:color w:val="000000"/>
                <w:sz w:val="18"/>
                <w:u w:val="none"/>
              </w:rPr>
              <w:tab/>
              <w:t>15,793,433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44"/>
                <w:tab w:val="left" w:pos="1192"/>
              </w:tabs>
              <w:spacing w:before="15" w:after="30" w:line="240" w:lineRule="auto"/>
              <w:jc w:val="right"/>
            </w:pPr>
            <w:r>
              <w:rPr>
                <w:rFonts w:ascii="Times New Roman" w:eastAsia="Times New Roman" w:hAnsi="Times New Roman" w:cs="Times New Roman"/>
                <w:b w:val="0"/>
                <w:i w:val="0"/>
                <w:color w:val="000000"/>
                <w:sz w:val="18"/>
                <w:u w:val="none"/>
              </w:rPr>
              <w:tab/>
              <w:t>12,504,717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44"/>
                <w:tab w:val="left" w:pos="1192"/>
              </w:tabs>
              <w:spacing w:before="15" w:after="30" w:line="240" w:lineRule="auto"/>
              <w:jc w:val="right"/>
            </w:pPr>
            <w:r>
              <w:rPr>
                <w:rFonts w:ascii="Times New Roman" w:eastAsia="Times New Roman" w:hAnsi="Times New Roman" w:cs="Times New Roman"/>
                <w:b w:val="0"/>
                <w:i w:val="0"/>
                <w:color w:val="000000"/>
                <w:sz w:val="18"/>
                <w:u w:val="none"/>
              </w:rPr>
              <w:tab/>
              <w:t>12,475,424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44"/>
                <w:tab w:val="left" w:pos="1192"/>
              </w:tabs>
              <w:spacing w:before="15" w:after="30" w:line="240" w:lineRule="auto"/>
              <w:jc w:val="right"/>
            </w:pPr>
            <w:r>
              <w:rPr>
                <w:rFonts w:ascii="Times New Roman" w:eastAsia="Times New Roman" w:hAnsi="Times New Roman" w:cs="Times New Roman"/>
                <w:b w:val="0"/>
                <w:i w:val="0"/>
                <w:color w:val="000000"/>
                <w:sz w:val="18"/>
                <w:u w:val="none"/>
              </w:rPr>
              <w:tab/>
              <w:t>10,716,796</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Book value per common share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9"/>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11.91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12.23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17.75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17.36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18.84</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75" w:after="30" w:line="240" w:lineRule="auto"/>
              <w:ind w:left="0" w:right="0" w:firstLine="0"/>
              <w:jc w:val="left"/>
              <w:outlineLvl w:val="9"/>
              <w:rPr>
                <w:rFonts w:ascii="Times New Roman" w:eastAsia="Times New Roman" w:hAnsi="Times New Roman" w:cs="Times New Roman"/>
                <w:b/>
                <w:i w:val="0"/>
                <w:sz w:val="18"/>
              </w:rPr>
            </w:pPr>
            <w:r>
              <w:rPr>
                <w:rFonts w:ascii="Times New Roman" w:eastAsia="Times New Roman" w:hAnsi="Times New Roman" w:cs="Times New Roman"/>
                <w:b/>
                <w:i w:val="0"/>
                <w:sz w:val="18"/>
              </w:rPr>
              <w:t>Tangible book value per common share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9"/>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11.78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12.08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16.48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16.03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17.23</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Tangible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Total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14"/>
                <w:tab w:val="left" w:pos="1372"/>
              </w:tabs>
              <w:spacing w:before="75" w:after="30" w:line="240" w:lineRule="auto"/>
              <w:jc w:val="right"/>
            </w:pPr>
            <w:r>
              <w:rPr>
                <w:rFonts w:ascii="Times New Roman" w:eastAsia="Times New Roman" w:hAnsi="Times New Roman" w:cs="Times New Roman"/>
                <w:b w:val="0"/>
                <w:i w:val="0"/>
                <w:color w:val="000000"/>
                <w:sz w:val="18"/>
                <w:u w:val="none"/>
              </w:rPr>
              <w:t>$</w:t>
              <w:tab/>
              <w:t>3,958,542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34"/>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4,078,321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34"/>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3,972,728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34"/>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3,552,772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234"/>
                <w:tab w:val="left" w:pos="1192"/>
              </w:tabs>
              <w:spacing w:before="75" w:after="30" w:line="240" w:lineRule="auto"/>
              <w:jc w:val="right"/>
            </w:pPr>
            <w:r>
              <w:rPr>
                <w:rFonts w:ascii="Times New Roman" w:eastAsia="Times New Roman" w:hAnsi="Times New Roman" w:cs="Times New Roman"/>
                <w:b w:val="0"/>
                <w:i w:val="0"/>
                <w:color w:val="000000"/>
                <w:sz w:val="18"/>
                <w:u w:val="none"/>
              </w:rPr>
              <w:t>$</w:t>
              <w:tab/>
              <w:t>3,151,347</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Adjustments: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Goodwill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4"/>
                <w:tab w:val="left" w:pos="137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74"/>
                <w:tab w:val="left" w:pos="1192"/>
              </w:tabs>
              <w:spacing w:before="75" w:after="30" w:line="240" w:lineRule="auto"/>
              <w:jc w:val="right"/>
            </w:pPr>
            <w:r>
              <w:rPr>
                <w:rFonts w:ascii="Times New Roman" w:eastAsia="Times New Roman" w:hAnsi="Times New Roman" w:cs="Times New Roman"/>
                <w:b w:val="0"/>
                <w:i w:val="0"/>
                <w:color w:val="000000"/>
                <w:sz w:val="18"/>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12,900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12,900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9"/>
                <w:tab w:val="left" w:pos="1192"/>
              </w:tabs>
              <w:spacing w:before="75" w:after="30" w:line="240" w:lineRule="auto"/>
              <w:jc w:val="right"/>
            </w:pPr>
            <w:r>
              <w:rPr>
                <w:rFonts w:ascii="Times New Roman" w:eastAsia="Times New Roman" w:hAnsi="Times New Roman" w:cs="Times New Roman"/>
                <w:b w:val="0"/>
                <w:i w:val="0"/>
                <w:color w:val="000000"/>
                <w:sz w:val="18"/>
                <w:u w:val="none"/>
              </w:rPr>
              <w:tab/>
              <w:t>12,900</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Acquisition intangibles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9"/>
                <w:tab w:val="left" w:pos="1372"/>
              </w:tabs>
              <w:spacing w:before="75" w:after="30" w:line="240" w:lineRule="auto"/>
              <w:jc w:val="right"/>
            </w:pPr>
            <w:r>
              <w:rPr>
                <w:rFonts w:ascii="Times New Roman" w:eastAsia="Times New Roman" w:hAnsi="Times New Roman" w:cs="Times New Roman"/>
                <w:b w:val="0"/>
                <w:i w:val="0"/>
                <w:color w:val="000000"/>
                <w:sz w:val="18"/>
                <w:u w:val="none"/>
              </w:rPr>
              <w:tab/>
              <w:t>2,091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2,266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2,962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3,658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9"/>
                <w:tab w:val="left" w:pos="1192"/>
              </w:tabs>
              <w:spacing w:before="75" w:after="30" w:line="240" w:lineRule="auto"/>
              <w:jc w:val="right"/>
            </w:pPr>
            <w:r>
              <w:rPr>
                <w:rFonts w:ascii="Times New Roman" w:eastAsia="Times New Roman" w:hAnsi="Times New Roman" w:cs="Times New Roman"/>
                <w:b w:val="0"/>
                <w:i w:val="0"/>
                <w:color w:val="000000"/>
                <w:sz w:val="18"/>
                <w:u w:val="none"/>
              </w:rPr>
              <w:tab/>
              <w:t>4,355</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ind w:left="135"/>
              <w:jc w:val="left"/>
            </w:pPr>
            <w:r>
              <w:rPr>
                <w:rFonts w:ascii="Times New Roman" w:eastAsia="Times New Roman" w:hAnsi="Times New Roman" w:cs="Times New Roman"/>
                <w:b w:val="0"/>
                <w:i w:val="0"/>
                <w:color w:val="000000"/>
                <w:sz w:val="18"/>
                <w:u w:val="none"/>
              </w:rPr>
              <w:t>Other intangibles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64"/>
                <w:tab w:val="left" w:pos="137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19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19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4"/>
                <w:tab w:val="left" w:pos="1192"/>
              </w:tabs>
              <w:spacing w:before="75" w:after="30" w:line="240" w:lineRule="auto"/>
              <w:jc w:val="right"/>
            </w:pPr>
            <w:r>
              <w:rPr>
                <w:rFonts w:ascii="Times New Roman" w:eastAsia="Times New Roman" w:hAnsi="Times New Roman" w:cs="Times New Roman"/>
                <w:b w:val="0"/>
                <w:i w:val="0"/>
                <w:color w:val="000000"/>
                <w:sz w:val="18"/>
                <w:u w:val="none"/>
              </w:rPr>
              <w:tab/>
              <w:t>100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74"/>
                <w:tab w:val="left" w:pos="1192"/>
              </w:tabs>
              <w:spacing w:before="75" w:after="30" w:line="240" w:lineRule="auto"/>
              <w:jc w:val="right"/>
            </w:pPr>
            <w:r>
              <w:rPr>
                <w:rFonts w:ascii="Times New Roman" w:eastAsia="Times New Roman" w:hAnsi="Times New Roman" w:cs="Times New Roman"/>
                <w:b w:val="0"/>
                <w:i w:val="0"/>
                <w:color w:val="000000"/>
                <w:sz w:val="18"/>
                <w:u w:val="none"/>
              </w:rPr>
              <w:tab/>
              <w:t>—</w:t>
              <w:tab/>
            </w:r>
          </w:p>
        </w:tc>
      </w:tr>
      <w:tr>
        <w:tblPrEx>
          <w:tblW w:w="10140" w:type="dxa"/>
          <w:tblInd w:w="0" w:type="dxa"/>
          <w:tblLayout w:type="fixed"/>
        </w:tblPrEx>
        <w:trPr>
          <w:trHeight w:hRule="exact" w:val="255"/>
        </w:trPr>
        <w:tc>
          <w:tcPr>
            <w:tcW w:w="32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Tangible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14"/>
                <w:tab w:val="left" w:pos="1372"/>
              </w:tabs>
              <w:spacing w:before="55" w:after="30" w:line="240" w:lineRule="auto"/>
              <w:jc w:val="right"/>
            </w:pPr>
            <w:r>
              <w:rPr>
                <w:rFonts w:ascii="Times New Roman" w:eastAsia="Times New Roman" w:hAnsi="Times New Roman" w:cs="Times New Roman"/>
                <w:b/>
                <w:i w:val="0"/>
                <w:color w:val="000000"/>
                <w:sz w:val="18"/>
                <w:u w:val="none"/>
              </w:rPr>
              <w:t>$</w:t>
              <w:tab/>
              <w:t>3,956,351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34"/>
                <w:tab w:val="left" w:pos="1192"/>
              </w:tabs>
              <w:spacing w:before="55" w:after="30" w:line="240" w:lineRule="auto"/>
              <w:jc w:val="right"/>
            </w:pPr>
            <w:r>
              <w:rPr>
                <w:rFonts w:ascii="Times New Roman" w:eastAsia="Times New Roman" w:hAnsi="Times New Roman" w:cs="Times New Roman"/>
                <w:b/>
                <w:i w:val="0"/>
                <w:color w:val="000000"/>
                <w:sz w:val="18"/>
                <w:u w:val="none"/>
              </w:rPr>
              <w:t>$</w:t>
              <w:tab/>
              <w:t>4,075,955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34"/>
                <w:tab w:val="left" w:pos="1192"/>
              </w:tabs>
              <w:spacing w:before="55" w:after="30" w:line="240" w:lineRule="auto"/>
              <w:jc w:val="right"/>
            </w:pPr>
            <w:r>
              <w:rPr>
                <w:rFonts w:ascii="Times New Roman" w:eastAsia="Times New Roman" w:hAnsi="Times New Roman" w:cs="Times New Roman"/>
                <w:b/>
                <w:i w:val="0"/>
                <w:color w:val="000000"/>
                <w:sz w:val="18"/>
                <w:u w:val="none"/>
              </w:rPr>
              <w:t>$</w:t>
              <w:tab/>
              <w:t>3,956,766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34"/>
                <w:tab w:val="left" w:pos="1192"/>
              </w:tabs>
              <w:spacing w:before="55" w:after="30" w:line="240" w:lineRule="auto"/>
              <w:jc w:val="right"/>
            </w:pPr>
            <w:r>
              <w:rPr>
                <w:rFonts w:ascii="Times New Roman" w:eastAsia="Times New Roman" w:hAnsi="Times New Roman" w:cs="Times New Roman"/>
                <w:b/>
                <w:i w:val="0"/>
                <w:color w:val="000000"/>
                <w:sz w:val="18"/>
                <w:u w:val="none"/>
              </w:rPr>
              <w:t>$</w:t>
              <w:tab/>
              <w:t>3,536,114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234"/>
                <w:tab w:val="left" w:pos="1192"/>
              </w:tabs>
              <w:spacing w:before="55" w:after="30" w:line="240" w:lineRule="auto"/>
              <w:jc w:val="right"/>
            </w:pPr>
            <w:r>
              <w:rPr>
                <w:rFonts w:ascii="Times New Roman" w:eastAsia="Times New Roman" w:hAnsi="Times New Roman" w:cs="Times New Roman"/>
                <w:b/>
                <w:i w:val="0"/>
                <w:color w:val="000000"/>
                <w:sz w:val="18"/>
                <w:u w:val="none"/>
              </w:rPr>
              <w:t>$</w:t>
              <w:tab/>
              <w:t>3,134,092</w:t>
              <w:tab/>
            </w:r>
          </w:p>
        </w:tc>
      </w:tr>
      <w:tr>
        <w:tblPrEx>
          <w:tblW w:w="10140" w:type="dxa"/>
          <w:tblInd w:w="0" w:type="dxa"/>
          <w:tblLayout w:type="fixed"/>
        </w:tblPrEx>
        <w:trPr>
          <w:trHeight w:hRule="exact" w:val="465"/>
        </w:trPr>
        <w:tc>
          <w:tcPr>
            <w:tcW w:w="32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15" w:after="30" w:line="240" w:lineRule="auto"/>
              <w:jc w:val="left"/>
            </w:pPr>
            <w:r>
              <w:rPr>
                <w:rFonts w:ascii="Times New Roman" w:eastAsia="Times New Roman" w:hAnsi="Times New Roman" w:cs="Times New Roman"/>
                <w:b/>
                <w:i w:val="0"/>
                <w:color w:val="000000"/>
                <w:sz w:val="18"/>
                <w:u w:val="none"/>
              </w:rPr>
              <w:t>Tangible common equity to tangible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15" w:after="30" w:line="240" w:lineRule="auto"/>
              <w:jc w:val="right"/>
            </w:pPr>
            <w:r>
              <w:rPr>
                <w:rFonts w:ascii="Times New Roman" w:eastAsia="Times New Roman" w:hAnsi="Times New Roman" w:cs="Times New Roman"/>
                <w:b/>
                <w:i w:val="0"/>
                <w:color w:val="000000"/>
                <w:sz w:val="18"/>
                <w:u w:val="none"/>
              </w:rPr>
              <w:tab/>
              <w:t>4.77</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15" w:after="30" w:line="240" w:lineRule="auto"/>
              <w:jc w:val="right"/>
            </w:pPr>
            <w:r>
              <w:rPr>
                <w:rFonts w:ascii="Times New Roman" w:eastAsia="Times New Roman" w:hAnsi="Times New Roman" w:cs="Times New Roman"/>
                <w:b/>
                <w:i w:val="0"/>
                <w:color w:val="000000"/>
                <w:sz w:val="18"/>
                <w:u w:val="none"/>
              </w:rPr>
              <w:tab/>
              <w:t>4.68</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15" w:after="30" w:line="240" w:lineRule="auto"/>
              <w:jc w:val="right"/>
            </w:pPr>
            <w:r>
              <w:rPr>
                <w:rFonts w:ascii="Times New Roman" w:eastAsia="Times New Roman" w:hAnsi="Times New Roman" w:cs="Times New Roman"/>
                <w:b/>
                <w:i w:val="0"/>
                <w:color w:val="000000"/>
                <w:sz w:val="18"/>
                <w:u w:val="none"/>
              </w:rPr>
              <w:tab/>
              <w:t>5.21</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15" w:after="30" w:line="240" w:lineRule="auto"/>
              <w:jc w:val="right"/>
            </w:pPr>
            <w:r>
              <w:rPr>
                <w:rFonts w:ascii="Times New Roman" w:eastAsia="Times New Roman" w:hAnsi="Times New Roman" w:cs="Times New Roman"/>
                <w:b/>
                <w:i w:val="0"/>
                <w:color w:val="000000"/>
                <w:sz w:val="18"/>
                <w:u w:val="none"/>
              </w:rPr>
              <w:tab/>
              <w:t>5.65</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6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78"/>
              </w:tabs>
              <w:spacing w:before="15" w:after="30" w:line="240" w:lineRule="auto"/>
              <w:jc w:val="right"/>
            </w:pPr>
            <w:r>
              <w:rPr>
                <w:rFonts w:ascii="Times New Roman" w:eastAsia="Times New Roman" w:hAnsi="Times New Roman" w:cs="Times New Roman"/>
                <w:b/>
                <w:i w:val="0"/>
                <w:color w:val="000000"/>
                <w:sz w:val="18"/>
                <w:u w:val="none"/>
              </w:rPr>
              <w:tab/>
              <w:t>5.89</w:t>
              <w:tab/>
              <w:t>%</w:t>
            </w: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i w:val="0"/>
          <w:color w:val="FF0090"/>
          <w:sz w:val="18"/>
          <w:u w:val="none"/>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FF0090"/>
          <w:sz w:val="18"/>
          <w:u w:val="none"/>
        </w:rPr>
        <w:sectPr>
          <w:pgSz w:w="12240" w:h="15840"/>
          <w:pgMar w:top="855" w:right="990" w:bottom="855" w:left="990" w:header="0" w:footer="0"/>
          <w:cols w:space="708"/>
        </w:sectPr>
      </w:pPr>
    </w:p>
    <w:p>
      <w:pPr>
        <w:keepNext w:val="0"/>
        <w:keepLines w:val="0"/>
        <w:pageBreakBefore w:val="0"/>
        <w:widowControl/>
        <w:numPr>
          <w:ilvl w:val="0"/>
          <w:numId w:val="0"/>
        </w:numPr>
        <w:spacing w:before="0" w:after="0" w:line="288" w:lineRule="auto"/>
        <w:ind w:left="0" w:right="0" w:firstLine="0"/>
        <w:jc w:val="both"/>
        <w:outlineLvl w:val="0"/>
        <w:rPr>
          <w:rFonts w:ascii="Times New Roman" w:eastAsia="Times New Roman" w:hAnsi="Times New Roman" w:cs="Times New Roman"/>
          <w:b/>
          <w:i w:val="0"/>
          <w:sz w:val="18"/>
        </w:rPr>
      </w:pPr>
      <w:bookmarkStart w:id="6" w:name="Section10"/>
      <w:bookmarkEnd w:id="6"/>
      <w:r>
        <w:rPr>
          <w:rFonts w:ascii="Times New Roman" w:eastAsia="Times New Roman" w:hAnsi="Times New Roman" w:cs="Times New Roman"/>
          <w:b/>
          <w:i w:val="0"/>
          <w:sz w:val="18"/>
        </w:rPr>
        <w:t>Regulatory Capital</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Risk-based capital regulations adopted by the FDIC require banks to achieve and maintain specified ratios of capital to risk-weighted assets. Similar capital regulations apply to bank holding companies over $3.0 billion in assets. The risk-based capital rules are designed to measure "Tier 1" capital (consisting of common equity, retained earnings and a limited amount of qualifying perpetual preferred stock and trust preferred securities, net of goodwill and other intangible assets and accumulated other comprehensive income) and total capital in relation to the credit risk of both on- and off- balance sheet items. Under the guidelines, one of its risk weights is applied to the different on-balance sheet items. Off-balance sheet items, such as loan commitments, are also subject to risk weighting. Applicable bank holding companies and all banks must maintain a minimum total capital to total risk weighted assets ratio of 8.00%, at least half of which must be in the form of core or Tier 1 capital. These guidelines also specify that bank holding companies that are experiencing internal growth or making acquisitions will be expected to maintain capital positions substantially above the minimum supervisory levels.</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In order to avoid limitations on distributions, including dividend payments, and certain discretionary bonus payments to executive officers, an institution must hold a capital conservation buffer above its minimum risk-based capital requirements. 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the Bank's capital conservation buffer was </w:t>
      </w:r>
      <w:r>
        <w:rPr>
          <w:rFonts w:ascii="Times New Roman" w:eastAsia="Times New Roman" w:hAnsi="Times New Roman" w:cs="Times New Roman"/>
          <w:b w:val="0"/>
          <w:i w:val="0"/>
          <w:color w:val="000000"/>
          <w:sz w:val="18"/>
          <w:u w:val="none"/>
        </w:rPr>
        <w:t>6.71%</w:t>
      </w:r>
      <w:r>
        <w:rPr>
          <w:rFonts w:ascii="Times New Roman" w:eastAsia="Times New Roman" w:hAnsi="Times New Roman" w:cs="Times New Roman"/>
          <w:b w:val="0"/>
          <w:i w:val="0"/>
          <w:sz w:val="18"/>
        </w:rPr>
        <w:t xml:space="preserve"> exceeding the minimum of 2.50%. </w:t>
      </w:r>
      <w:r>
        <w:rPr>
          <w:rFonts w:ascii="Times New Roman" w:eastAsia="Times New Roman" w:hAnsi="Times New Roman" w:cs="Times New Roman"/>
          <w:b w:val="0"/>
          <w:i w:val="0"/>
          <w:sz w:val="18"/>
        </w:rPr>
        <w:t xml:space="preserve">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xml:space="preserve">, First Guaranty's capital conservation buffer was </w:t>
      </w:r>
      <w:r>
        <w:rPr>
          <w:rFonts w:ascii="Times New Roman" w:eastAsia="Times New Roman" w:hAnsi="Times New Roman" w:cs="Times New Roman"/>
          <w:b w:val="0"/>
          <w:i w:val="0"/>
          <w:sz w:val="18"/>
        </w:rPr>
        <w:t>5.47</w:t>
      </w:r>
      <w:r>
        <w:rPr>
          <w:rFonts w:ascii="Times New Roman" w:eastAsia="Times New Roman" w:hAnsi="Times New Roman" w:cs="Times New Roman"/>
          <w:b w:val="0"/>
          <w:i w:val="0"/>
          <w:sz w:val="18"/>
        </w:rPr>
        <w:t xml:space="preserve">% exceeding the minimum of 2.50%. </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FF009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As a result of the Economic Growth, Regulatory Relief, and Consumer Protection Act, the Federal Reserve Board has amended its small bank holding company and savings and loan holding company policy statement to provide that holding companies with consolidated assets of less than $3 billion that are (i) not engaged in significant nonbanking activities, (ii) do not conduct significant off-balance sheet activities, and (3) do not have a material amount of SEC-registered debt or equity securities, other than trust preferred securities, that contribute to an organization's complexity, are no longer subject to regulatory capital requirements, effective August 30, 2018. On January 1, 2024, First Guaranty ceased being considered a "small bank holding company". Accordingly, both the Bank and First Guaranty are required to maintain specified ratios of capital to risk-weighted assets.</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In addition, as a result of the legislation, the federal banking agencies have developed a "Community Bank Leverage Ratio" (the ratio of a bank's Tier 1 capital to average total consolidated assets) for financial institutions with assets of less than $10 billion. </w:t>
      </w:r>
      <w:r>
        <w:rPr>
          <w:rFonts w:ascii="Times New Roman" w:eastAsia="Times New Roman" w:hAnsi="Times New Roman" w:cs="Times New Roman"/>
          <w:b w:val="0"/>
          <w:i w:val="0"/>
          <w:sz w:val="18"/>
        </w:rPr>
        <w:t xml:space="preserve">A "qualifying community bank" that exceeds this ratio will be deemed to be in compliance with all other capital and leverage requirements, including the capital requirements to be considered "well capitalized" under Prompt Corrective Action statutes. The federal banking agencies may consider a financial institution's risk profile when evaluating whether it qualifies as a community bank for purposes of the capital ratio requirement. The federal banking agencies set the new Community Bank Leverage Ratio at 9%. Pursuant to the CARES Act, the federal banking agencies set the Community Bank Leverage Ratio at 8% beginning in the second quarter of 2020 through the end of 2020. Beginning in 2021, the Community Bank Leverage Ratio increased to 8.5% for the calendar year. Community banks will have until January 1, 2022, before the Community Bank Leverage Ratio requirement will return to 9%. A financial institution can elect to be subject to this new definition. </w:t>
      </w:r>
      <w:r>
        <w:rPr>
          <w:rFonts w:ascii="Times New Roman" w:eastAsia="Times New Roman" w:hAnsi="Times New Roman" w:cs="Times New Roman"/>
          <w:b w:val="0"/>
          <w:i w:val="0"/>
          <w:sz w:val="18"/>
        </w:rPr>
        <w:t xml:space="preserve">As of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the Bank has not elected to follow the Community Bank Leverage Ratio.</w:t>
      </w:r>
      <w:r>
        <w:rPr>
          <w:rFonts w:ascii="Times New Roman" w:eastAsia="Times New Roman" w:hAnsi="Times New Roman" w:cs="Times New Roman"/>
          <w:b w:val="0"/>
          <w:i w:val="0"/>
          <w:sz w:val="18"/>
        </w:rPr>
        <w:t xml:space="preserve"> Effective Ap</w:t>
      </w:r>
      <w:r>
        <w:rPr>
          <w:rFonts w:ascii="Times New Roman" w:eastAsia="Times New Roman" w:hAnsi="Times New Roman" w:cs="Times New Roman"/>
          <w:b w:val="0"/>
          <w:i w:val="0"/>
          <w:sz w:val="18"/>
        </w:rPr>
        <w:t xml:space="preserve">ril 1, 2026, </w:t>
      </w:r>
      <w:r>
        <w:rPr>
          <w:rFonts w:ascii="Times New Roman" w:eastAsia="Times New Roman" w:hAnsi="Times New Roman" w:cs="Times New Roman"/>
          <w:b w:val="0"/>
          <w:i w:val="0"/>
          <w:sz w:val="18"/>
        </w:rPr>
        <w:t>the comm</w:t>
      </w:r>
      <w:r>
        <w:rPr>
          <w:rFonts w:ascii="Times New Roman" w:eastAsia="Times New Roman" w:hAnsi="Times New Roman" w:cs="Times New Roman"/>
          <w:b w:val="0"/>
          <w:i w:val="0"/>
          <w:sz w:val="18"/>
        </w:rPr>
        <w:t>un</w:t>
      </w:r>
      <w:r>
        <w:rPr>
          <w:rFonts w:ascii="Times New Roman" w:eastAsia="Times New Roman" w:hAnsi="Times New Roman" w:cs="Times New Roman"/>
          <w:b w:val="0"/>
          <w:i w:val="0"/>
          <w:sz w:val="18"/>
        </w:rPr>
        <w:t>ity bank leverage ratio was reduced to 8%.</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 xml:space="preserve">At </w:t>
      </w:r>
      <w:r>
        <w:rPr>
          <w:rFonts w:ascii="Times New Roman" w:eastAsia="Times New Roman" w:hAnsi="Times New Roman" w:cs="Times New Roman"/>
          <w:b w:val="0"/>
          <w:i w:val="0"/>
          <w:color w:val="000000"/>
          <w:sz w:val="18"/>
          <w:u w:val="none"/>
        </w:rPr>
        <w:t>March 31, 2026</w:t>
      </w:r>
      <w:r>
        <w:rPr>
          <w:rFonts w:ascii="Times New Roman" w:eastAsia="Times New Roman" w:hAnsi="Times New Roman" w:cs="Times New Roman"/>
          <w:b w:val="0"/>
          <w:i w:val="0"/>
          <w:sz w:val="18"/>
        </w:rPr>
        <w:t>, we satisfied the minimum regulatory capital requirements and were well capitalized within the meaning of federal regulatory requirements. </w:t>
      </w:r>
    </w:p>
    <w:p>
      <w:pPr>
        <w:keepNext w:val="0"/>
        <w:keepLines w:val="0"/>
        <w:pageBreakBefore w:val="0"/>
        <w:widowControl/>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8"/>
        </w:rPr>
      </w:pPr>
    </w:p>
    <w:tbl>
      <w:tblPr>
        <w:tblStyle w:val="TableNormal0"/>
        <w:tblW w:w="10260" w:type="dxa"/>
        <w:jc w:val="left"/>
        <w:tblInd w:w="0" w:type="dxa"/>
        <w:tblLayout w:type="fixed"/>
      </w:tblPr>
      <w:tblGrid>
        <w:gridCol w:w="3135"/>
        <w:gridCol w:w="75"/>
        <w:gridCol w:w="2475"/>
        <w:gridCol w:w="75"/>
        <w:gridCol w:w="2130"/>
        <w:gridCol w:w="75"/>
        <w:gridCol w:w="2295"/>
      </w:tblGrid>
      <w:tr>
        <w:tblPrEx>
          <w:tblW w:w="10260" w:type="dxa"/>
          <w:tblInd w:w="0" w:type="dxa"/>
          <w:tblLayout w:type="fixed"/>
        </w:tblPrEx>
        <w:trPr>
          <w:trHeight w:hRule="exact" w:val="255"/>
        </w:trPr>
        <w:tc>
          <w:tcPr>
            <w:tcW w:w="3135" w:type="dxa"/>
            <w:tcBorders>
              <w:top w:val="nil"/>
              <w:left w:val="nil"/>
              <w:bottom w:val="nil"/>
              <w:right w:val="nil"/>
            </w:tcBorders>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4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both"/>
            </w:pPr>
            <w:r>
              <w:rPr>
                <w:rFonts w:ascii="Times New Roman" w:eastAsia="Times New Roman" w:hAnsi="Times New Roman" w:cs="Times New Roman"/>
                <w:b/>
                <w:i w:val="0"/>
                <w:color w:val="000000"/>
                <w:sz w:val="18"/>
                <w:u w:val="none"/>
              </w:rPr>
              <w:t>"Well Capitalized Minimums"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13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both"/>
            </w:pPr>
            <w:r>
              <w:rPr>
                <w:rFonts w:ascii="Times New Roman" w:eastAsia="Times New Roman" w:hAnsi="Times New Roman" w:cs="Times New Roman"/>
                <w:b/>
                <w:i w:val="0"/>
                <w:color w:val="000000"/>
                <w:sz w:val="18"/>
                <w:u w:val="none"/>
              </w:rPr>
              <w:t>As of March 31, 2026</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75" w:after="30" w:line="240" w:lineRule="auto"/>
              <w:jc w:val="both"/>
            </w:pPr>
            <w:r>
              <w:rPr>
                <w:rFonts w:ascii="Times New Roman" w:eastAsia="Times New Roman" w:hAnsi="Times New Roman" w:cs="Times New Roman"/>
                <w:b/>
                <w:i w:val="0"/>
                <w:color w:val="000000"/>
                <w:sz w:val="18"/>
                <w:u w:val="none"/>
              </w:rPr>
              <w:t>As of December 31, 2025</w:t>
            </w:r>
          </w:p>
        </w:tc>
      </w:tr>
      <w:tr>
        <w:tblPrEx>
          <w:tblW w:w="10260" w:type="dxa"/>
          <w:tblInd w:w="0" w:type="dxa"/>
          <w:tblLayout w:type="fixed"/>
        </w:tblPrEx>
        <w:trPr>
          <w:trHeight w:hRule="exact" w:val="255"/>
        </w:trPr>
        <w:tc>
          <w:tcPr>
            <w:tcW w:w="31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i w:val="0"/>
                <w:color w:val="000000"/>
                <w:sz w:val="18"/>
                <w:u w:val="none"/>
              </w:rPr>
              <w:t>Tier 1 Leverage Ratio</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47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13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 </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 </w:t>
            </w:r>
          </w:p>
        </w:tc>
      </w:tr>
      <w:tr>
        <w:tblPrEx>
          <w:tblW w:w="10260" w:type="dxa"/>
          <w:tblInd w:w="0" w:type="dxa"/>
          <w:tblLayout w:type="fixed"/>
        </w:tblPrEx>
        <w:trPr>
          <w:trHeight w:hRule="exact" w:val="255"/>
        </w:trPr>
        <w:tc>
          <w:tcPr>
            <w:tcW w:w="313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Bank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5.00%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6.52%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6.90%</w:t>
            </w:r>
          </w:p>
        </w:tc>
      </w:tr>
      <w:tr>
        <w:tblPrEx>
          <w:tblW w:w="10260" w:type="dxa"/>
          <w:tblInd w:w="0" w:type="dxa"/>
          <w:tblLayout w:type="fixed"/>
        </w:tblPrEx>
        <w:trPr>
          <w:trHeight w:hRule="exact" w:val="255"/>
        </w:trPr>
        <w:tc>
          <w:tcPr>
            <w:tcW w:w="31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Consolidated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N/A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5.61%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5.93%</w:t>
            </w:r>
          </w:p>
        </w:tc>
      </w:tr>
      <w:tr>
        <w:tblPrEx>
          <w:tblW w:w="10260" w:type="dxa"/>
          <w:tblInd w:w="0" w:type="dxa"/>
          <w:tblLayout w:type="fixed"/>
        </w:tblPrEx>
        <w:trPr>
          <w:trHeight w:hRule="exact" w:val="255"/>
        </w:trPr>
        <w:tc>
          <w:tcPr>
            <w:tcW w:w="313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Tier 1 Risk-based Capital Ratio</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55"/>
        </w:trPr>
        <w:tc>
          <w:tcPr>
            <w:tcW w:w="313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Bank</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8.00%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13.45%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12.24%</w:t>
            </w:r>
          </w:p>
        </w:tc>
      </w:tr>
      <w:tr>
        <w:tblPrEx>
          <w:tblW w:w="10260" w:type="dxa"/>
          <w:tblInd w:w="0" w:type="dxa"/>
          <w:tblLayout w:type="fixed"/>
        </w:tblPrEx>
        <w:trPr>
          <w:trHeight w:hRule="exact" w:val="255"/>
        </w:trPr>
        <w:tc>
          <w:tcPr>
            <w:tcW w:w="31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Consolidated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8.00%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11.60%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10.52%</w:t>
            </w:r>
          </w:p>
        </w:tc>
      </w:tr>
      <w:tr>
        <w:tblPrEx>
          <w:tblW w:w="10260" w:type="dxa"/>
          <w:tblInd w:w="0" w:type="dxa"/>
          <w:tblLayout w:type="fixed"/>
        </w:tblPrEx>
        <w:trPr>
          <w:trHeight w:hRule="exact" w:val="255"/>
        </w:trPr>
        <w:tc>
          <w:tcPr>
            <w:tcW w:w="313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Total Risk-based Capital Ratio</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55"/>
        </w:trPr>
        <w:tc>
          <w:tcPr>
            <w:tcW w:w="313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Bank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14.71%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13.48%</w:t>
            </w:r>
          </w:p>
        </w:tc>
      </w:tr>
      <w:tr>
        <w:tblPrEx>
          <w:tblW w:w="10260" w:type="dxa"/>
          <w:tblInd w:w="0" w:type="dxa"/>
          <w:tblLayout w:type="fixed"/>
        </w:tblPrEx>
        <w:trPr>
          <w:trHeight w:hRule="exact" w:val="255"/>
        </w:trPr>
        <w:tc>
          <w:tcPr>
            <w:tcW w:w="31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val="0"/>
                <w:i w:val="0"/>
                <w:color w:val="000000"/>
                <w:sz w:val="18"/>
                <w:u w:val="none"/>
              </w:rPr>
              <w:t>Consolidated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10.00%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14.34%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75" w:after="30" w:line="240" w:lineRule="auto"/>
              <w:jc w:val="both"/>
            </w:pPr>
            <w:r>
              <w:rPr>
                <w:rFonts w:ascii="Times New Roman" w:eastAsia="Times New Roman" w:hAnsi="Times New Roman" w:cs="Times New Roman"/>
                <w:b w:val="0"/>
                <w:i w:val="0"/>
                <w:color w:val="000000"/>
                <w:sz w:val="18"/>
                <w:u w:val="none"/>
              </w:rPr>
              <w:t>13.12%</w:t>
            </w:r>
          </w:p>
        </w:tc>
      </w:tr>
      <w:tr>
        <w:tblPrEx>
          <w:tblW w:w="10260" w:type="dxa"/>
          <w:tblInd w:w="0" w:type="dxa"/>
          <w:tblLayout w:type="fixed"/>
        </w:tblPrEx>
        <w:trPr>
          <w:trHeight w:hRule="exact" w:val="435"/>
        </w:trPr>
        <w:tc>
          <w:tcPr>
            <w:tcW w:w="313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75" w:after="30" w:line="240" w:lineRule="auto"/>
              <w:jc w:val="left"/>
            </w:pPr>
            <w:r>
              <w:rPr>
                <w:rFonts w:ascii="Times New Roman" w:eastAsia="Times New Roman" w:hAnsi="Times New Roman" w:cs="Times New Roman"/>
                <w:b/>
                <w:i w:val="0"/>
                <w:color w:val="000000"/>
                <w:sz w:val="18"/>
                <w:u w:val="none"/>
              </w:rPr>
              <w:t>Common Equity Tier One Capital Ratio</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trHeight w:hRule="exact" w:val="255"/>
        </w:trPr>
        <w:tc>
          <w:tcPr>
            <w:tcW w:w="313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55" w:after="30" w:line="240" w:lineRule="auto"/>
              <w:jc w:val="left"/>
            </w:pPr>
            <w:r>
              <w:rPr>
                <w:rFonts w:ascii="Times New Roman" w:eastAsia="Times New Roman" w:hAnsi="Times New Roman" w:cs="Times New Roman"/>
                <w:b w:val="0"/>
                <w:i w:val="0"/>
                <w:color w:val="000000"/>
                <w:sz w:val="18"/>
                <w:u w:val="none"/>
              </w:rPr>
              <w:t>Bank</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47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6.50%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13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13.45%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5" w:after="30" w:line="240" w:lineRule="auto"/>
              <w:jc w:val="both"/>
            </w:pPr>
            <w:r>
              <w:rPr>
                <w:rFonts w:ascii="Times New Roman" w:eastAsia="Times New Roman" w:hAnsi="Times New Roman" w:cs="Times New Roman"/>
                <w:b w:val="0"/>
                <w:i w:val="0"/>
                <w:color w:val="000000"/>
                <w:sz w:val="18"/>
                <w:u w:val="none"/>
              </w:rPr>
              <w:t>12.24%</w:t>
            </w:r>
          </w:p>
        </w:tc>
      </w:tr>
      <w:tr>
        <w:tblPrEx>
          <w:tblW w:w="10260" w:type="dxa"/>
          <w:tblInd w:w="0" w:type="dxa"/>
          <w:tblLayout w:type="fixed"/>
        </w:tblPrEx>
        <w:trPr>
          <w:trHeight w:hRule="exact" w:val="255"/>
        </w:trPr>
        <w:tc>
          <w:tcPr>
            <w:tcW w:w="313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75" w:after="30" w:line="240" w:lineRule="auto"/>
              <w:jc w:val="left"/>
            </w:pPr>
            <w:r>
              <w:rPr>
                <w:rFonts w:ascii="Times New Roman" w:eastAsia="Times New Roman" w:hAnsi="Times New Roman" w:cs="Times New Roman"/>
                <w:b w:val="0"/>
                <w:i w:val="0"/>
                <w:color w:val="000000"/>
                <w:sz w:val="18"/>
                <w:u w:val="none"/>
              </w:rPr>
              <w:t>Consolidated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475"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75" w:after="30" w:line="240" w:lineRule="auto"/>
              <w:jc w:val="both"/>
            </w:pPr>
            <w:r>
              <w:rPr>
                <w:rFonts w:ascii="Times New Roman" w:eastAsia="Times New Roman" w:hAnsi="Times New Roman" w:cs="Times New Roman"/>
                <w:b w:val="0"/>
                <w:i w:val="0"/>
                <w:color w:val="000000"/>
                <w:sz w:val="18"/>
                <w:u w:val="none"/>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130"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75" w:after="30" w:line="240" w:lineRule="auto"/>
              <w:jc w:val="both"/>
            </w:pPr>
            <w:r>
              <w:rPr>
                <w:rFonts w:ascii="Times New Roman" w:eastAsia="Times New Roman" w:hAnsi="Times New Roman" w:cs="Times New Roman"/>
                <w:b w:val="0"/>
                <w:i w:val="0"/>
                <w:color w:val="000000"/>
                <w:sz w:val="18"/>
                <w:u w:val="none"/>
              </w:rPr>
              <w:t>9.97%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295" w:type="dxa"/>
            <w:tcBorders>
              <w:top w:val="nil"/>
              <w:left w:val="nil"/>
              <w:bottom w:val="nil"/>
              <w:right w:val="nil"/>
            </w:tcBorders>
            <w:shd w:val="clear" w:color="auto" w:fill="CCEEFF"/>
            <w:tcMar>
              <w:top w:w="0" w:type="dxa"/>
              <w:left w:w="53" w:type="dxa"/>
              <w:bottom w:w="0" w:type="dxa"/>
              <w:right w:w="15" w:type="dxa"/>
            </w:tcMar>
            <w:vAlign w:val="bottom"/>
          </w:tcPr>
          <w:p>
            <w:pPr>
              <w:pageBreakBefore w:val="0"/>
              <w:spacing w:before="75" w:after="30" w:line="240" w:lineRule="auto"/>
              <w:jc w:val="both"/>
            </w:pPr>
            <w:r>
              <w:rPr>
                <w:rFonts w:ascii="Times New Roman" w:eastAsia="Times New Roman" w:hAnsi="Times New Roman" w:cs="Times New Roman"/>
                <w:b w:val="0"/>
                <w:i w:val="0"/>
                <w:color w:val="000000"/>
                <w:sz w:val="18"/>
                <w:u w:val="none"/>
              </w:rPr>
              <w:t>9.03%</w:t>
            </w: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
        </w:rPr>
      </w:pPr>
    </w:p>
    <w:sectPr>
      <w:type w:val="continuous"/>
      <w:pgSz w:w="12240" w:h="15840"/>
      <w:pgMar w:top="855" w:right="990" w:bottom="855" w:left="990" w:header="0" w:foo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360"/>
        </w:tabs>
        <w:ind w:left="720" w:hanging="360"/>
      </w:pPr>
      <w:rPr>
        <w:rFonts w:ascii="Arial" w:eastAsia="Arial" w:hAnsi="Arial" w:cs="Arial"/>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multilevel"/>
    <w:tmpl w:val="00000008"/>
    <w:lvl w:ilvl="0">
      <w:start w:val="1"/>
      <w:numFmt w:val="decimal"/>
      <w:lvlText w:val="%1."/>
      <w:lvlJc w:val="left"/>
      <w:pPr>
        <w:tabs>
          <w:tab w:val="num" w:pos="1080"/>
        </w:tabs>
        <w:ind w:left="720" w:hanging="360"/>
      </w:pPr>
      <w:rPr>
        <w:rFonts w:ascii="Times New Roman" w:eastAsia="Times New Roman" w:hAnsi="Times New Roman" w:cs="Times New Roman"/>
        <w:b w:val="0"/>
        <w:i w:val="0"/>
        <w:strike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08"/>
    <w:lvl w:ilvl="0">
      <w:start w:val="3"/>
      <w:numFmt w:val="decimal"/>
      <w:lvlText w:val="%1."/>
      <w:lvlJc w:val="left"/>
      <w:pPr>
        <w:tabs>
          <w:tab w:val="num" w:pos="1080"/>
        </w:tabs>
        <w:ind w:left="720" w:hanging="360"/>
      </w:pPr>
      <w:rPr>
        <w:rFonts w:ascii="Times New Roman" w:eastAsia="Times New Roman" w:hAnsi="Times New Roman" w:cs="Times New Roman"/>
        <w:b w:val="0"/>
        <w:i w:val="0"/>
        <w:strike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hybridMultilevel"/>
    <w:tmpl w:val="0000001B"/>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multilevel"/>
    <w:tmpl w:val="00000008"/>
    <w:lvl w:ilvl="0">
      <w:start w:val="1"/>
      <w:numFmt w:val="decimal"/>
      <w:lvlText w:val="%1."/>
      <w:lvlJc w:val="left"/>
      <w:pPr>
        <w:tabs>
          <w:tab w:val="num" w:pos="1080"/>
        </w:tabs>
        <w:ind w:left="720" w:hanging="360"/>
      </w:pPr>
      <w:rPr>
        <w:rFonts w:ascii="Times New Roman" w:eastAsia="Times New Roman" w:hAnsi="Times New Roman" w:cs="Times New Roman"/>
        <w:b w:val="0"/>
        <w:i w:val="0"/>
        <w:strike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hybridMultilevel"/>
    <w:tmpl w:val="0000001D"/>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tabs>
          <w:tab w:val="num" w:pos="360"/>
        </w:tabs>
        <w:ind w:left="720" w:hanging="360"/>
      </w:pPr>
      <w:rPr>
        <w:rFonts w:ascii="Times New Roman" w:eastAsia="Times New Roman" w:hAnsi="Times New Roman" w:cs="Times New Roman"/>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tabs>
          <w:tab w:val="num" w:pos="360"/>
        </w:tabs>
        <w:ind w:left="720" w:hanging="360"/>
      </w:pPr>
      <w:rPr>
        <w:rFonts w:ascii="Times New Roman" w:eastAsia="Times New Roman" w:hAnsi="Times New Roman" w:cs="Times New Roman"/>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1"/>
      <w:numFmt w:val="bullet"/>
      <w:lvlText w:val="•"/>
      <w:lvlJc w:val="left"/>
      <w:pPr>
        <w:tabs>
          <w:tab w:val="num" w:pos="360"/>
        </w:tabs>
        <w:ind w:left="720" w:hanging="360"/>
      </w:pPr>
      <w:rPr>
        <w:rFonts w:ascii="Times New Roman" w:eastAsia="Times New Roman" w:hAnsi="Times New Roman" w:cs="Times New Roman"/>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multilevel"/>
    <w:tmpl w:val="00000008"/>
    <w:lvl w:ilvl="0">
      <w:start w:val="1"/>
      <w:numFmt w:val="decimal"/>
      <w:lvlText w:val="(%1)"/>
      <w:lvlJc w:val="left"/>
      <w:pPr>
        <w:tabs>
          <w:tab w:val="num" w:pos="405"/>
        </w:tabs>
        <w:ind w:left="720" w:hanging="360"/>
      </w:pPr>
      <w:rPr>
        <w:rFonts w:ascii="Times New Roman" w:eastAsia="Times New Roman" w:hAnsi="Times New Roman" w:cs="Times New Roman"/>
        <w:b w:val="0"/>
        <w:i w:val="0"/>
        <w:strike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Light" w:eastAsia="Times New Roman" w:hAnsi="Calibri Light" w:cs="Times New Roman"/>
      <w:color w:val="2F5496" w:themeShade="BF"/>
      <w:sz w:val="32"/>
      <w:szCs w:val="32"/>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Light" w:eastAsia="Times New Roman" w:hAnsi="Calibri Light" w:cs="Times New Roman"/>
      <w:color w:val="2F5496" w:themeShade="BF"/>
      <w:sz w:val="26"/>
      <w:szCs w:val="2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Light" w:eastAsia="Times New Roman" w:hAnsi="Calibri Light" w:cs="Times New Roman"/>
      <w:color w:val="1F3763" w:themeShade="7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keepNext w:val="0"/>
      <w:spacing w:before="0" w:after="0" w:line="288" w:lineRule="auto"/>
      <w:ind w:left="0" w:firstLine="0"/>
    </w:pPr>
    <w:rPr>
      <w:rFonts w:ascii="Times New Roman" w:eastAsia="Times New Roman" w:hAnsi="Times New Roman" w:cs="Times New Roman"/>
      <w:b w:val="0"/>
      <w:i w:val="0"/>
      <w:color w:val="000000"/>
      <w:spacing w:val="0"/>
      <w:sz w:val="20"/>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paragraph" w:customStyle="1" w:styleId="Heading1-wk">
    <w:name w:val="Heading 1-wk"/>
    <w:qFormat/>
    <w:pPr>
      <w:keepNext w:val="0"/>
      <w:spacing w:before="0" w:after="0" w:line="288" w:lineRule="auto"/>
      <w:ind w:left="0" w:firstLine="0"/>
    </w:pPr>
    <w:rPr>
      <w:rFonts w:ascii="Arial" w:eastAsia="Arial" w:hAnsi="Arial" w:cs="Arial"/>
      <w:b/>
      <w:i w:val="0"/>
      <w:color w:val="000000"/>
      <w:spacing w:val="0"/>
      <w:sz w:val="36"/>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paragraph" w:customStyle="1" w:styleId="Heading2-wk">
    <w:name w:val="Heading 2-wk"/>
    <w:qFormat/>
    <w:pPr>
      <w:keepNext w:val="0"/>
      <w:spacing w:before="0" w:after="0" w:line="288" w:lineRule="auto"/>
      <w:ind w:left="0" w:firstLine="0"/>
    </w:pPr>
    <w:rPr>
      <w:rFonts w:ascii="Arial" w:eastAsia="Arial" w:hAnsi="Arial" w:cs="Arial"/>
      <w:b/>
      <w:i w:val="0"/>
      <w:color w:val="000000"/>
      <w:spacing w:val="0"/>
      <w:sz w:val="32"/>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paragraph" w:customStyle="1" w:styleId="Heading3-wk">
    <w:name w:val="Heading 3-wk"/>
    <w:qFormat/>
    <w:pPr>
      <w:keepNext w:val="0"/>
      <w:spacing w:before="0" w:after="0" w:line="288" w:lineRule="auto"/>
      <w:ind w:left="0" w:firstLine="0"/>
    </w:pPr>
    <w:rPr>
      <w:rFonts w:ascii="Arial" w:eastAsia="Arial" w:hAnsi="Arial" w:cs="Arial"/>
      <w:b w:val="0"/>
      <w:i w:val="0"/>
      <w:color w:val="000000"/>
      <w:spacing w:val="0"/>
      <w:sz w:val="28"/>
    </w:rPr>
  </w:style>
  <w:style w:type="table" w:customStyle="1" w:styleId="TableNormal0">
    <w:name w:val="Table (Normal)"/>
    <w:pPr>
      <w:spacing w:before="0" w:after="0" w:line="240" w:lineRule="auto"/>
      <w:ind w:left="0" w:firstLine="0"/>
    </w:pPr>
    <w:rPr>
      <w:rFonts w:ascii="Times New Roman" w:eastAsia="Times New Roman" w:hAnsi="Times New Roman" w:cs="Times New Roman"/>
      <w:b w:val="0"/>
      <w:i w:val="0"/>
      <w:color w:val="000000"/>
      <w:spacing w:val="0"/>
      <w:sz w:val="20"/>
    </w:rP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FGBI- EX 99.1 Earnings Press Release 03.31.2026</dc:title>
  <cp:revision>1</cp:revision>
</cp:coreProperties>
</file>