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page" w:tblpX="7981" w:tblpY="-2654"/>
        <w:tblOverlap w:val="never"/>
        <w:tblW w:w="2461" w:type="dxa"/>
        <w:tblLayout w:type="fixed"/>
        <w:tblCellMar>
          <w:left w:w="0" w:type="dxa"/>
          <w:right w:w="0" w:type="dxa"/>
        </w:tblCellMar>
        <w:tblLook w:val="00A0" w:firstRow="1" w:lastRow="0" w:firstColumn="1" w:lastColumn="0" w:noHBand="0" w:noVBand="0"/>
      </w:tblPr>
      <w:tblGrid>
        <w:gridCol w:w="2461"/>
      </w:tblGrid>
      <w:tr w:rsidR="00656AD4" w:rsidRPr="00D705A7" w14:paraId="46418A5E" w14:textId="77777777" w:rsidTr="002B316E">
        <w:trPr>
          <w:trHeight w:hRule="exact" w:val="2384"/>
        </w:trPr>
        <w:tc>
          <w:tcPr>
            <w:tcW w:w="2461" w:type="dxa"/>
            <w:vAlign w:val="bottom"/>
          </w:tcPr>
          <w:p w14:paraId="7B34E2E4" w14:textId="77777777" w:rsidR="00656AD4" w:rsidRPr="009B665E" w:rsidRDefault="00656AD4" w:rsidP="00656AD4">
            <w:pPr>
              <w:pStyle w:val="04Address"/>
              <w:framePr w:hSpace="0" w:wrap="auto" w:vAnchor="margin" w:hAnchor="text" w:xAlign="left" w:yAlign="inline"/>
              <w:spacing w:line="180" w:lineRule="exact"/>
              <w:ind w:right="-115"/>
              <w:rPr>
                <w:rFonts w:ascii="Arial" w:hAnsi="Arial" w:cs="Arial"/>
                <w:sz w:val="15"/>
                <w:szCs w:val="15"/>
              </w:rPr>
            </w:pPr>
            <w:r w:rsidRPr="009B665E">
              <w:rPr>
                <w:rFonts w:ascii="Arial" w:hAnsi="Arial" w:cs="Arial"/>
                <w:sz w:val="15"/>
                <w:szCs w:val="15"/>
              </w:rPr>
              <w:t>One Franklin Parkway</w:t>
            </w:r>
            <w:r w:rsidRPr="009B665E">
              <w:rPr>
                <w:rFonts w:ascii="Arial" w:hAnsi="Arial" w:cs="Arial"/>
                <w:sz w:val="15"/>
                <w:szCs w:val="15"/>
              </w:rPr>
              <w:br/>
              <w:t>San Mateo, CA 94403-1906</w:t>
            </w:r>
          </w:p>
          <w:p w14:paraId="36F140AF" w14:textId="77777777" w:rsidR="00656AD4" w:rsidRPr="009B665E" w:rsidRDefault="00656AD4" w:rsidP="00656AD4">
            <w:pPr>
              <w:pStyle w:val="05telfaxemailurl"/>
              <w:framePr w:hSpace="0" w:wrap="auto" w:vAnchor="margin" w:hAnchor="text" w:xAlign="left" w:yAlign="inline"/>
              <w:tabs>
                <w:tab w:val="left" w:pos="274"/>
              </w:tabs>
              <w:spacing w:line="180" w:lineRule="exact"/>
              <w:rPr>
                <w:rFonts w:ascii="Arial" w:hAnsi="Arial" w:cs="Arial"/>
                <w:sz w:val="15"/>
                <w:szCs w:val="15"/>
              </w:rPr>
            </w:pPr>
            <w:proofErr w:type="spellStart"/>
            <w:r w:rsidRPr="00A3640B">
              <w:rPr>
                <w:rFonts w:cs="Arial"/>
                <w:bCs/>
                <w:spacing w:val="0"/>
                <w:szCs w:val="16"/>
              </w:rPr>
              <w:t>tel</w:t>
            </w:r>
            <w:proofErr w:type="spellEnd"/>
            <w:r>
              <w:rPr>
                <w:rFonts w:cs="Arial"/>
                <w:b/>
                <w:spacing w:val="0"/>
                <w:szCs w:val="16"/>
              </w:rPr>
              <w:tab/>
            </w:r>
            <w:r w:rsidRPr="009B665E">
              <w:rPr>
                <w:rFonts w:ascii="Arial" w:hAnsi="Arial" w:cs="Arial"/>
                <w:sz w:val="15"/>
                <w:szCs w:val="15"/>
              </w:rPr>
              <w:t>(650) 312-</w:t>
            </w:r>
            <w:r>
              <w:rPr>
                <w:rFonts w:ascii="Arial" w:hAnsi="Arial" w:cs="Arial"/>
                <w:sz w:val="15"/>
                <w:szCs w:val="15"/>
              </w:rPr>
              <w:t>2000</w:t>
            </w:r>
          </w:p>
          <w:p w14:paraId="604B5D27" w14:textId="74F8564B" w:rsidR="00656AD4" w:rsidRPr="00D705A7" w:rsidRDefault="00656AD4" w:rsidP="00656AD4">
            <w:pPr>
              <w:pStyle w:val="05telfaxemailurl"/>
              <w:framePr w:hSpace="0" w:wrap="auto" w:vAnchor="margin" w:hAnchor="text" w:xAlign="left" w:yAlign="inline"/>
              <w:spacing w:line="180" w:lineRule="exact"/>
            </w:pPr>
          </w:p>
        </w:tc>
      </w:tr>
    </w:tbl>
    <w:p w14:paraId="215640AF" w14:textId="0CD382B2" w:rsidR="003039CF" w:rsidRPr="00BF511E" w:rsidRDefault="003039CF" w:rsidP="00000CF8">
      <w:pPr>
        <w:spacing w:line="270" w:lineRule="exact"/>
        <w:ind w:left="1296" w:hanging="1296"/>
        <w:rPr>
          <w:b/>
          <w:bCs/>
          <w:spacing w:val="-2"/>
          <w:sz w:val="22"/>
        </w:rPr>
      </w:pPr>
    </w:p>
    <w:tbl>
      <w:tblPr>
        <w:tblpPr w:leftFromText="180" w:rightFromText="180" w:tblpY="-765"/>
        <w:tblW w:w="0" w:type="auto"/>
        <w:tblLook w:val="00A0" w:firstRow="1" w:lastRow="0" w:firstColumn="1" w:lastColumn="0" w:noHBand="0" w:noVBand="0"/>
      </w:tblPr>
      <w:tblGrid>
        <w:gridCol w:w="1985"/>
        <w:gridCol w:w="7255"/>
        <w:gridCol w:w="120"/>
      </w:tblGrid>
      <w:tr w:rsidR="003039CF" w:rsidRPr="00D66000" w14:paraId="7DB20C05" w14:textId="77777777" w:rsidTr="001302B0">
        <w:trPr>
          <w:trHeight w:val="243"/>
        </w:trPr>
        <w:tc>
          <w:tcPr>
            <w:tcW w:w="1985" w:type="dxa"/>
          </w:tcPr>
          <w:p w14:paraId="04FC38BE" w14:textId="5134044B" w:rsidR="003039CF" w:rsidRPr="000E7FD6" w:rsidRDefault="00FD52CE" w:rsidP="001302B0">
            <w:pPr>
              <w:spacing w:line="250" w:lineRule="exact"/>
              <w:ind w:left="0"/>
              <w:rPr>
                <w:rFonts w:cs="Arial"/>
                <w:color w:val="005598"/>
                <w:spacing w:val="4"/>
              </w:rPr>
            </w:pPr>
            <w:r w:rsidRPr="000E7FD6">
              <w:rPr>
                <w:rFonts w:cs="Arial"/>
                <w:b/>
                <w:color w:val="000000" w:themeColor="text1"/>
                <w:spacing w:val="4"/>
              </w:rPr>
              <w:t>Contact</w:t>
            </w:r>
            <w:r w:rsidR="003039CF" w:rsidRPr="000E7FD6">
              <w:rPr>
                <w:rFonts w:cs="Arial"/>
                <w:b/>
                <w:color w:val="000000" w:themeColor="text1"/>
                <w:spacing w:val="4"/>
              </w:rPr>
              <w:t>:</w:t>
            </w:r>
          </w:p>
        </w:tc>
        <w:tc>
          <w:tcPr>
            <w:tcW w:w="7375" w:type="dxa"/>
            <w:gridSpan w:val="2"/>
          </w:tcPr>
          <w:p w14:paraId="5B198938" w14:textId="20640EC3" w:rsidR="003039CF" w:rsidRPr="00D66000" w:rsidRDefault="00FD52CE" w:rsidP="001302B0">
            <w:pPr>
              <w:spacing w:line="250" w:lineRule="exact"/>
              <w:ind w:left="0"/>
              <w:rPr>
                <w:spacing w:val="-2"/>
              </w:rPr>
            </w:pPr>
            <w:r>
              <w:rPr>
                <w:spacing w:val="-2"/>
              </w:rPr>
              <w:t xml:space="preserve">Franklin </w:t>
            </w:r>
            <w:r w:rsidR="004359B2">
              <w:rPr>
                <w:spacing w:val="-2"/>
              </w:rPr>
              <w:t>Templeton</w:t>
            </w:r>
          </w:p>
        </w:tc>
      </w:tr>
      <w:tr w:rsidR="003039CF" w:rsidRPr="00D66000" w14:paraId="360DFB72" w14:textId="77777777" w:rsidTr="001302B0">
        <w:trPr>
          <w:trHeight w:val="243"/>
        </w:trPr>
        <w:tc>
          <w:tcPr>
            <w:tcW w:w="1985" w:type="dxa"/>
          </w:tcPr>
          <w:p w14:paraId="3284247D" w14:textId="51BA0344" w:rsidR="003039CF" w:rsidRPr="000E7FD6" w:rsidRDefault="003039CF" w:rsidP="001302B0">
            <w:pPr>
              <w:spacing w:line="250" w:lineRule="exact"/>
              <w:ind w:left="0"/>
              <w:rPr>
                <w:rFonts w:cs="Arial"/>
                <w:spacing w:val="-2"/>
              </w:rPr>
            </w:pPr>
          </w:p>
        </w:tc>
        <w:tc>
          <w:tcPr>
            <w:tcW w:w="7375" w:type="dxa"/>
            <w:gridSpan w:val="2"/>
          </w:tcPr>
          <w:p w14:paraId="12788EE1" w14:textId="5DA9AF61" w:rsidR="003039CF" w:rsidRPr="009E0D15" w:rsidRDefault="003039CF" w:rsidP="001302B0">
            <w:pPr>
              <w:spacing w:line="250" w:lineRule="exact"/>
              <w:ind w:left="0"/>
              <w:rPr>
                <w:spacing w:val="-2"/>
                <w:sz w:val="19"/>
                <w:szCs w:val="19"/>
              </w:rPr>
            </w:pPr>
          </w:p>
        </w:tc>
      </w:tr>
      <w:tr w:rsidR="003039CF" w:rsidRPr="00D66000" w14:paraId="6BC71A0F" w14:textId="77777777" w:rsidTr="001302B0">
        <w:trPr>
          <w:trHeight w:val="261"/>
        </w:trPr>
        <w:tc>
          <w:tcPr>
            <w:tcW w:w="1985" w:type="dxa"/>
          </w:tcPr>
          <w:p w14:paraId="5174169C" w14:textId="2ED4C7DE" w:rsidR="003039CF" w:rsidRPr="000E7FD6" w:rsidRDefault="00FD52CE" w:rsidP="001302B0">
            <w:pPr>
              <w:spacing w:line="250" w:lineRule="exact"/>
              <w:ind w:left="0"/>
              <w:rPr>
                <w:rFonts w:cs="Arial"/>
                <w:spacing w:val="-2"/>
              </w:rPr>
            </w:pPr>
            <w:r w:rsidRPr="000E7FD6">
              <w:rPr>
                <w:rFonts w:cs="Arial"/>
                <w:b/>
                <w:spacing w:val="-2"/>
                <w:sz w:val="19"/>
              </w:rPr>
              <w:t xml:space="preserve">Media Relations: </w:t>
            </w:r>
          </w:p>
        </w:tc>
        <w:tc>
          <w:tcPr>
            <w:tcW w:w="7375" w:type="dxa"/>
            <w:gridSpan w:val="2"/>
          </w:tcPr>
          <w:p w14:paraId="6D944279" w14:textId="4DE4219C" w:rsidR="003039CF" w:rsidRPr="00BF35CE" w:rsidRDefault="00FD52CE" w:rsidP="001302B0">
            <w:pPr>
              <w:spacing w:line="250" w:lineRule="exact"/>
              <w:ind w:left="0"/>
              <w:rPr>
                <w:spacing w:val="-2"/>
                <w:sz w:val="19"/>
                <w:szCs w:val="19"/>
                <w:lang w:val="de-DE"/>
              </w:rPr>
            </w:pPr>
            <w:r w:rsidRPr="009E0D15">
              <w:rPr>
                <w:spacing w:val="-2"/>
                <w:sz w:val="19"/>
                <w:szCs w:val="19"/>
              </w:rPr>
              <w:t xml:space="preserve">Media Relations: </w:t>
            </w:r>
            <w:r w:rsidR="00BF35CE">
              <w:rPr>
                <w:spacing w:val="-2"/>
                <w:sz w:val="19"/>
                <w:szCs w:val="19"/>
              </w:rPr>
              <w:t>Adrienne Herrera</w:t>
            </w:r>
            <w:r w:rsidRPr="009E0D15">
              <w:rPr>
                <w:spacing w:val="-2"/>
                <w:sz w:val="19"/>
                <w:szCs w:val="19"/>
              </w:rPr>
              <w:t xml:space="preserve"> (</w:t>
            </w:r>
            <w:r w:rsidR="00BF35CE">
              <w:rPr>
                <w:spacing w:val="-2"/>
                <w:sz w:val="19"/>
                <w:szCs w:val="19"/>
              </w:rPr>
              <w:t>718</w:t>
            </w:r>
            <w:r w:rsidRPr="009E0D15">
              <w:rPr>
                <w:spacing w:val="-2"/>
                <w:sz w:val="19"/>
                <w:szCs w:val="19"/>
              </w:rPr>
              <w:t xml:space="preserve">) </w:t>
            </w:r>
            <w:r w:rsidR="00BF35CE">
              <w:rPr>
                <w:spacing w:val="-2"/>
                <w:sz w:val="19"/>
                <w:szCs w:val="19"/>
              </w:rPr>
              <w:t>360 7933</w:t>
            </w:r>
            <w:r w:rsidRPr="009E0D15">
              <w:rPr>
                <w:spacing w:val="-2"/>
                <w:sz w:val="19"/>
                <w:szCs w:val="19"/>
              </w:rPr>
              <w:t xml:space="preserve">, </w:t>
            </w:r>
            <w:r w:rsidR="009E0D15">
              <w:rPr>
                <w:spacing w:val="-2"/>
                <w:sz w:val="19"/>
                <w:szCs w:val="19"/>
              </w:rPr>
              <w:br/>
            </w:r>
            <w:hyperlink r:id="rId11" w:history="1">
              <w:r w:rsidR="00BF35CE" w:rsidRPr="00BF35CE">
                <w:rPr>
                  <w:rStyle w:val="Hyperlink"/>
                  <w:spacing w:val="-2"/>
                  <w:sz w:val="19"/>
                  <w:szCs w:val="19"/>
                  <w:lang w:val="de-DE"/>
                </w:rPr>
                <w:t>Adrienne.Herrera@franklintempleton.com</w:t>
              </w:r>
            </w:hyperlink>
            <w:r w:rsidR="00BF35CE" w:rsidRPr="00BF35CE">
              <w:rPr>
                <w:spacing w:val="-2"/>
                <w:sz w:val="19"/>
                <w:szCs w:val="19"/>
                <w:lang w:val="de-DE"/>
              </w:rPr>
              <w:t xml:space="preserve"> </w:t>
            </w:r>
          </w:p>
        </w:tc>
      </w:tr>
      <w:tr w:rsidR="003039CF" w:rsidRPr="00D66000" w14:paraId="32CC547C" w14:textId="77777777" w:rsidTr="001302B0">
        <w:trPr>
          <w:trHeight w:val="288"/>
        </w:trPr>
        <w:tc>
          <w:tcPr>
            <w:tcW w:w="1985" w:type="dxa"/>
          </w:tcPr>
          <w:p w14:paraId="503FA643" w14:textId="2B33F991" w:rsidR="003039CF" w:rsidRPr="000E7FD6" w:rsidRDefault="003039CF" w:rsidP="001302B0">
            <w:pPr>
              <w:spacing w:line="250" w:lineRule="exact"/>
              <w:ind w:left="0"/>
              <w:rPr>
                <w:rFonts w:cs="Arial"/>
                <w:spacing w:val="-2"/>
              </w:rPr>
            </w:pPr>
          </w:p>
        </w:tc>
        <w:tc>
          <w:tcPr>
            <w:tcW w:w="7375" w:type="dxa"/>
            <w:gridSpan w:val="2"/>
          </w:tcPr>
          <w:p w14:paraId="34DA3913" w14:textId="3F794AB6" w:rsidR="003039CF" w:rsidRPr="009E0D15" w:rsidRDefault="003039CF" w:rsidP="001302B0">
            <w:pPr>
              <w:spacing w:line="250" w:lineRule="exact"/>
              <w:ind w:left="0"/>
              <w:rPr>
                <w:spacing w:val="-2"/>
                <w:sz w:val="19"/>
                <w:szCs w:val="19"/>
              </w:rPr>
            </w:pPr>
          </w:p>
        </w:tc>
      </w:tr>
      <w:tr w:rsidR="003039CF" w:rsidRPr="00D66000" w14:paraId="1F352E34" w14:textId="77777777" w:rsidTr="001302B0">
        <w:trPr>
          <w:trHeight w:val="252"/>
        </w:trPr>
        <w:tc>
          <w:tcPr>
            <w:tcW w:w="1985" w:type="dxa"/>
          </w:tcPr>
          <w:p w14:paraId="63D1F6EE" w14:textId="77777777" w:rsidR="003039CF" w:rsidRPr="00D66000" w:rsidRDefault="003039CF" w:rsidP="001302B0">
            <w:pPr>
              <w:spacing w:line="250" w:lineRule="exact"/>
              <w:ind w:left="0"/>
              <w:rPr>
                <w:spacing w:val="-2"/>
              </w:rPr>
            </w:pPr>
          </w:p>
        </w:tc>
        <w:tc>
          <w:tcPr>
            <w:tcW w:w="7375" w:type="dxa"/>
            <w:gridSpan w:val="2"/>
          </w:tcPr>
          <w:p w14:paraId="08FAF928" w14:textId="77777777" w:rsidR="003039CF" w:rsidRPr="00D66000" w:rsidRDefault="003039CF" w:rsidP="001302B0">
            <w:pPr>
              <w:spacing w:line="250" w:lineRule="exact"/>
              <w:ind w:left="0"/>
              <w:rPr>
                <w:spacing w:val="-2"/>
              </w:rPr>
            </w:pPr>
          </w:p>
        </w:tc>
      </w:tr>
      <w:tr w:rsidR="003039CF" w:rsidRPr="00D66000" w14:paraId="1BE2D088" w14:textId="77777777" w:rsidTr="001302B0">
        <w:trPr>
          <w:trHeight w:val="162"/>
        </w:trPr>
        <w:tc>
          <w:tcPr>
            <w:tcW w:w="1985" w:type="dxa"/>
          </w:tcPr>
          <w:p w14:paraId="252DDE73" w14:textId="77777777" w:rsidR="003039CF" w:rsidRPr="00D66000" w:rsidRDefault="003039CF" w:rsidP="001302B0">
            <w:pPr>
              <w:spacing w:line="250" w:lineRule="exact"/>
              <w:ind w:left="0"/>
              <w:rPr>
                <w:spacing w:val="-2"/>
              </w:rPr>
            </w:pPr>
          </w:p>
        </w:tc>
        <w:tc>
          <w:tcPr>
            <w:tcW w:w="7375" w:type="dxa"/>
            <w:gridSpan w:val="2"/>
          </w:tcPr>
          <w:p w14:paraId="6BBBBA31" w14:textId="77777777" w:rsidR="003039CF" w:rsidRPr="00D66000" w:rsidRDefault="003039CF" w:rsidP="001302B0">
            <w:pPr>
              <w:spacing w:line="250" w:lineRule="exact"/>
              <w:ind w:left="0"/>
              <w:rPr>
                <w:spacing w:val="-2"/>
              </w:rPr>
            </w:pPr>
          </w:p>
        </w:tc>
      </w:tr>
      <w:tr w:rsidR="00044858" w:rsidRPr="00D66000" w14:paraId="202B7A92" w14:textId="77777777" w:rsidTr="00887BA0">
        <w:trPr>
          <w:gridAfter w:val="1"/>
          <w:wAfter w:w="120" w:type="dxa"/>
          <w:trHeight w:val="397"/>
        </w:trPr>
        <w:tc>
          <w:tcPr>
            <w:tcW w:w="9240" w:type="dxa"/>
            <w:gridSpan w:val="2"/>
          </w:tcPr>
          <w:p w14:paraId="4CCB21A6" w14:textId="77777777" w:rsidR="00044858" w:rsidRPr="001302B0" w:rsidRDefault="00044858" w:rsidP="001302B0">
            <w:pPr>
              <w:ind w:left="0"/>
              <w:rPr>
                <w:rFonts w:ascii="Century Gothic" w:hAnsi="Century Gothic"/>
                <w:bCs/>
                <w:caps/>
                <w:color w:val="000000" w:themeColor="text1"/>
                <w:spacing w:val="4"/>
                <w:sz w:val="6"/>
                <w:szCs w:val="6"/>
              </w:rPr>
            </w:pPr>
          </w:p>
          <w:p w14:paraId="6EBDC527" w14:textId="721917C8" w:rsidR="00044858" w:rsidRPr="00CC26AA" w:rsidRDefault="00BF35CE" w:rsidP="00D11404">
            <w:pPr>
              <w:ind w:left="0"/>
              <w:rPr>
                <w:rFonts w:ascii="Century Gothic" w:hAnsi="Century Gothic"/>
                <w:b/>
                <w:bCs/>
                <w:spacing w:val="-2"/>
                <w:sz w:val="28"/>
                <w:szCs w:val="28"/>
              </w:rPr>
            </w:pPr>
            <w:r w:rsidRPr="00CC26AA">
              <w:rPr>
                <w:rFonts w:ascii="Century Gothic" w:hAnsi="Century Gothic"/>
                <w:b/>
                <w:bCs/>
                <w:spacing w:val="-2"/>
                <w:sz w:val="28"/>
                <w:szCs w:val="28"/>
              </w:rPr>
              <w:t xml:space="preserve">Franklin Templeton Forms Strategic Partnership with Copenhagen Infrastructure Partners, </w:t>
            </w:r>
            <w:proofErr w:type="spellStart"/>
            <w:r w:rsidRPr="00CC26AA">
              <w:rPr>
                <w:rFonts w:ascii="Century Gothic" w:hAnsi="Century Gothic"/>
                <w:b/>
                <w:bCs/>
                <w:spacing w:val="-2"/>
                <w:sz w:val="28"/>
                <w:szCs w:val="28"/>
              </w:rPr>
              <w:t>DigitalBridge</w:t>
            </w:r>
            <w:proofErr w:type="spellEnd"/>
            <w:r w:rsidRPr="00CC26AA">
              <w:rPr>
                <w:rFonts w:ascii="Century Gothic" w:hAnsi="Century Gothic"/>
                <w:b/>
                <w:bCs/>
                <w:spacing w:val="-2"/>
                <w:sz w:val="28"/>
                <w:szCs w:val="28"/>
              </w:rPr>
              <w:t xml:space="preserve">, </w:t>
            </w:r>
            <w:r w:rsidR="007A2298">
              <w:rPr>
                <w:rFonts w:ascii="Century Gothic" w:hAnsi="Century Gothic"/>
                <w:b/>
                <w:bCs/>
                <w:spacing w:val="-2"/>
                <w:sz w:val="28"/>
                <w:szCs w:val="28"/>
              </w:rPr>
              <w:t xml:space="preserve">and </w:t>
            </w:r>
            <w:r w:rsidR="007A2298" w:rsidRPr="00CC26AA">
              <w:rPr>
                <w:rFonts w:ascii="Century Gothic" w:hAnsi="Century Gothic"/>
                <w:b/>
                <w:bCs/>
                <w:spacing w:val="-2"/>
                <w:sz w:val="28"/>
                <w:szCs w:val="28"/>
              </w:rPr>
              <w:t>Actis</w:t>
            </w:r>
            <w:r w:rsidR="007A2298">
              <w:rPr>
                <w:rFonts w:ascii="Century Gothic" w:hAnsi="Century Gothic"/>
                <w:b/>
                <w:bCs/>
                <w:spacing w:val="-2"/>
                <w:sz w:val="28"/>
                <w:szCs w:val="28"/>
              </w:rPr>
              <w:t xml:space="preserve"> </w:t>
            </w:r>
            <w:r w:rsidRPr="00CC26AA">
              <w:rPr>
                <w:rFonts w:ascii="Century Gothic" w:hAnsi="Century Gothic"/>
                <w:b/>
                <w:bCs/>
                <w:spacing w:val="-2"/>
                <w:sz w:val="28"/>
                <w:szCs w:val="28"/>
              </w:rPr>
              <w:t xml:space="preserve">to Expand Infrastructure Solutions for Private Wealth </w:t>
            </w:r>
          </w:p>
          <w:p w14:paraId="67FE41B4" w14:textId="33BD7600" w:rsidR="00BF35CE" w:rsidRPr="00D11404" w:rsidRDefault="00BF35CE" w:rsidP="00D11404">
            <w:pPr>
              <w:ind w:left="0"/>
              <w:rPr>
                <w:rFonts w:asciiTheme="minorHAnsi" w:hAnsiTheme="minorHAnsi" w:cstheme="minorHAnsi"/>
                <w:spacing w:val="-2"/>
                <w:sz w:val="18"/>
                <w:szCs w:val="18"/>
              </w:rPr>
            </w:pPr>
          </w:p>
        </w:tc>
      </w:tr>
    </w:tbl>
    <w:p w14:paraId="3C1F3A61" w14:textId="14A40166" w:rsidR="00BF35CE" w:rsidRPr="00BF35CE" w:rsidRDefault="00A16E1B" w:rsidP="00BF35CE">
      <w:pPr>
        <w:ind w:left="0"/>
        <w:rPr>
          <w:rFonts w:eastAsia="Calibri" w:cs="Arial"/>
          <w:sz w:val="18"/>
          <w:szCs w:val="18"/>
        </w:rPr>
      </w:pPr>
      <w:r w:rsidRPr="00A16E1B">
        <w:rPr>
          <w:rFonts w:eastAsia="Calibri" w:cs="Arial"/>
          <w:sz w:val="18"/>
          <w:szCs w:val="18"/>
        </w:rPr>
        <w:t xml:space="preserve">SAN MATEO, CA, </w:t>
      </w:r>
      <w:r w:rsidR="008A0086">
        <w:rPr>
          <w:rFonts w:eastAsia="Calibri" w:cs="Arial"/>
          <w:sz w:val="18"/>
          <w:szCs w:val="18"/>
        </w:rPr>
        <w:t xml:space="preserve">September </w:t>
      </w:r>
      <w:r w:rsidR="00BF35CE">
        <w:rPr>
          <w:rFonts w:eastAsia="Calibri" w:cs="Arial"/>
          <w:sz w:val="18"/>
          <w:szCs w:val="18"/>
        </w:rPr>
        <w:t>16</w:t>
      </w:r>
      <w:r w:rsidRPr="00C54E45">
        <w:rPr>
          <w:rFonts w:eastAsia="Calibri" w:cs="Arial"/>
          <w:sz w:val="18"/>
          <w:szCs w:val="18"/>
        </w:rPr>
        <w:t>,</w:t>
      </w:r>
      <w:r w:rsidRPr="00A16E1B">
        <w:rPr>
          <w:rFonts w:eastAsia="Calibri" w:cs="Arial"/>
          <w:sz w:val="18"/>
          <w:szCs w:val="18"/>
        </w:rPr>
        <w:t xml:space="preserve"> 2025 – </w:t>
      </w:r>
      <w:hyperlink r:id="rId12" w:history="1">
        <w:r w:rsidR="00565401" w:rsidRPr="00565401">
          <w:rPr>
            <w:rStyle w:val="Hyperlink"/>
            <w:rFonts w:eastAsia="Calibri" w:cs="Arial"/>
            <w:sz w:val="18"/>
            <w:szCs w:val="18"/>
          </w:rPr>
          <w:t>Franklin Templeton</w:t>
        </w:r>
      </w:hyperlink>
      <w:r w:rsidR="00565401" w:rsidRPr="00565401">
        <w:rPr>
          <w:rFonts w:eastAsia="Calibri" w:cs="Arial"/>
          <w:sz w:val="18"/>
          <w:szCs w:val="18"/>
        </w:rPr>
        <w:t xml:space="preserve">, a global investment leader with </w:t>
      </w:r>
      <w:r w:rsidR="00565401">
        <w:rPr>
          <w:rFonts w:eastAsia="Calibri" w:cs="Arial"/>
          <w:sz w:val="18"/>
          <w:szCs w:val="18"/>
        </w:rPr>
        <w:t xml:space="preserve">more than </w:t>
      </w:r>
      <w:r w:rsidR="00565401" w:rsidRPr="00565401">
        <w:rPr>
          <w:rFonts w:eastAsia="Calibri" w:cs="Arial"/>
          <w:sz w:val="18"/>
          <w:szCs w:val="18"/>
        </w:rPr>
        <w:t>$1.6 trillion in assets under management,</w:t>
      </w:r>
      <w:r w:rsidR="00565401">
        <w:rPr>
          <w:rFonts w:eastAsia="Calibri" w:cs="Arial"/>
          <w:sz w:val="18"/>
          <w:szCs w:val="18"/>
        </w:rPr>
        <w:t xml:space="preserve"> </w:t>
      </w:r>
      <w:r w:rsidR="00BF35CE" w:rsidRPr="00BF35CE">
        <w:rPr>
          <w:rFonts w:eastAsia="Calibri" w:cs="Arial"/>
          <w:sz w:val="18"/>
          <w:szCs w:val="18"/>
        </w:rPr>
        <w:t>together with three leading institutional infrastructure investment firms</w:t>
      </w:r>
      <w:r w:rsidR="00DB0665">
        <w:rPr>
          <w:rFonts w:eastAsia="Calibri" w:cs="Arial"/>
          <w:sz w:val="18"/>
          <w:szCs w:val="18"/>
        </w:rPr>
        <w:t>:</w:t>
      </w:r>
      <w:r w:rsidR="00BF35CE" w:rsidRPr="00BF35CE">
        <w:rPr>
          <w:rFonts w:eastAsia="Calibri" w:cs="Arial"/>
          <w:sz w:val="18"/>
          <w:szCs w:val="18"/>
        </w:rPr>
        <w:t xml:space="preserve"> </w:t>
      </w:r>
      <w:r w:rsidR="5F323F46" w:rsidRPr="154D40BC">
        <w:rPr>
          <w:rFonts w:eastAsia="Calibri" w:cs="Arial"/>
          <w:sz w:val="18"/>
          <w:szCs w:val="18"/>
        </w:rPr>
        <w:t xml:space="preserve">Actis, </w:t>
      </w:r>
      <w:r w:rsidR="00504A82" w:rsidRPr="00504A82">
        <w:rPr>
          <w:rFonts w:eastAsia="Calibri" w:cs="Arial"/>
          <w:sz w:val="18"/>
          <w:szCs w:val="18"/>
        </w:rPr>
        <w:t>the Sustainable Infrastructure business of General Atlantic</w:t>
      </w:r>
      <w:r w:rsidR="00DB0665">
        <w:rPr>
          <w:rFonts w:eastAsia="Calibri" w:cs="Arial"/>
          <w:sz w:val="18"/>
          <w:szCs w:val="18"/>
        </w:rPr>
        <w:t>;</w:t>
      </w:r>
      <w:r w:rsidR="00504A82" w:rsidRPr="00504A82">
        <w:rPr>
          <w:rFonts w:eastAsia="Calibri" w:cs="Arial"/>
          <w:sz w:val="18"/>
          <w:szCs w:val="18"/>
        </w:rPr>
        <w:t xml:space="preserve"> </w:t>
      </w:r>
      <w:r w:rsidR="00BF35CE" w:rsidRPr="00BF35CE">
        <w:rPr>
          <w:rFonts w:eastAsia="Calibri" w:cs="Arial"/>
          <w:sz w:val="18"/>
          <w:szCs w:val="18"/>
        </w:rPr>
        <w:t>Copenhagen Infrastructure Partners (“CIP”)</w:t>
      </w:r>
      <w:r w:rsidR="00DB0665">
        <w:rPr>
          <w:rFonts w:eastAsia="Calibri" w:cs="Arial"/>
          <w:sz w:val="18"/>
          <w:szCs w:val="18"/>
        </w:rPr>
        <w:t>;</w:t>
      </w:r>
      <w:r w:rsidR="00BF35CE" w:rsidRPr="00BF35CE">
        <w:rPr>
          <w:rFonts w:eastAsia="Calibri" w:cs="Arial"/>
          <w:sz w:val="18"/>
          <w:szCs w:val="18"/>
        </w:rPr>
        <w:t xml:space="preserve"> </w:t>
      </w:r>
      <w:r w:rsidR="00DB0665">
        <w:rPr>
          <w:rFonts w:eastAsia="Calibri" w:cs="Arial"/>
          <w:sz w:val="18"/>
          <w:szCs w:val="18"/>
        </w:rPr>
        <w:t xml:space="preserve">and </w:t>
      </w:r>
      <w:proofErr w:type="spellStart"/>
      <w:r w:rsidR="00BF35CE" w:rsidRPr="00BF35CE">
        <w:rPr>
          <w:rFonts w:eastAsia="Calibri" w:cs="Arial"/>
          <w:sz w:val="18"/>
          <w:szCs w:val="18"/>
        </w:rPr>
        <w:t>DigitalBridge</w:t>
      </w:r>
      <w:proofErr w:type="spellEnd"/>
      <w:r w:rsidR="00BF35CE" w:rsidRPr="679F07FD">
        <w:rPr>
          <w:rFonts w:eastAsia="Calibri" w:cs="Arial"/>
          <w:sz w:val="18"/>
          <w:szCs w:val="18"/>
        </w:rPr>
        <w:t>,</w:t>
      </w:r>
      <w:r w:rsidR="00BF35CE" w:rsidRPr="00BF35CE">
        <w:rPr>
          <w:rFonts w:eastAsia="Calibri" w:cs="Arial"/>
          <w:sz w:val="18"/>
          <w:szCs w:val="18"/>
        </w:rPr>
        <w:t xml:space="preserve"> today announced a strategic partnership to deliver private infrastructure solutions to individual investors. </w:t>
      </w:r>
    </w:p>
    <w:p w14:paraId="150F7887" w14:textId="77777777" w:rsidR="00BF35CE" w:rsidRPr="00BF35CE" w:rsidRDefault="00BF35CE" w:rsidP="00BF35CE">
      <w:pPr>
        <w:ind w:left="0"/>
        <w:rPr>
          <w:rFonts w:eastAsia="Calibri" w:cs="Arial"/>
          <w:sz w:val="18"/>
          <w:szCs w:val="18"/>
        </w:rPr>
      </w:pPr>
    </w:p>
    <w:p w14:paraId="0D8F8BFE" w14:textId="0DC81EBF" w:rsidR="00BF35CE" w:rsidRPr="00BF35CE" w:rsidRDefault="00BF35CE" w:rsidP="00BF35CE">
      <w:pPr>
        <w:ind w:left="0"/>
        <w:rPr>
          <w:rFonts w:eastAsia="Calibri" w:cs="Arial"/>
          <w:sz w:val="18"/>
          <w:szCs w:val="18"/>
        </w:rPr>
      </w:pPr>
      <w:r w:rsidRPr="00BF35CE">
        <w:rPr>
          <w:rFonts w:eastAsia="Calibri" w:cs="Arial"/>
          <w:sz w:val="18"/>
          <w:szCs w:val="18"/>
        </w:rPr>
        <w:t xml:space="preserve">This partnership </w:t>
      </w:r>
      <w:r w:rsidR="000A0022">
        <w:rPr>
          <w:rFonts w:eastAsia="Calibri" w:cs="Arial"/>
          <w:sz w:val="18"/>
          <w:szCs w:val="18"/>
        </w:rPr>
        <w:t>seek</w:t>
      </w:r>
      <w:r w:rsidR="0021425A">
        <w:rPr>
          <w:rFonts w:eastAsia="Calibri" w:cs="Arial"/>
          <w:sz w:val="18"/>
          <w:szCs w:val="18"/>
        </w:rPr>
        <w:t>s</w:t>
      </w:r>
      <w:r w:rsidR="000A0022">
        <w:rPr>
          <w:rFonts w:eastAsia="Calibri" w:cs="Arial"/>
          <w:sz w:val="18"/>
          <w:szCs w:val="18"/>
        </w:rPr>
        <w:t xml:space="preserve"> to </w:t>
      </w:r>
      <w:r w:rsidRPr="00BF35CE">
        <w:rPr>
          <w:rFonts w:eastAsia="Calibri" w:cs="Arial"/>
          <w:sz w:val="18"/>
          <w:szCs w:val="18"/>
        </w:rPr>
        <w:t xml:space="preserve">provide </w:t>
      </w:r>
      <w:r w:rsidRPr="00947774">
        <w:rPr>
          <w:rFonts w:eastAsia="Calibri" w:cs="Arial"/>
          <w:sz w:val="18"/>
          <w:szCs w:val="18"/>
        </w:rPr>
        <w:t>private wealth clients</w:t>
      </w:r>
      <w:r w:rsidRPr="00BF35CE">
        <w:rPr>
          <w:rFonts w:eastAsia="Calibri" w:cs="Arial"/>
          <w:sz w:val="18"/>
          <w:szCs w:val="18"/>
        </w:rPr>
        <w:t xml:space="preserve"> with differentiated access to high-growth infrastructure opportunities, thematically focused on energy security, electrification, and digitalization, as well as sectors including data centers and </w:t>
      </w:r>
      <w:proofErr w:type="spellStart"/>
      <w:r w:rsidRPr="00BF35CE">
        <w:rPr>
          <w:rFonts w:eastAsia="Calibri" w:cs="Arial"/>
          <w:sz w:val="18"/>
          <w:szCs w:val="18"/>
        </w:rPr>
        <w:t>hyperscaler</w:t>
      </w:r>
      <w:proofErr w:type="spellEnd"/>
      <w:r w:rsidRPr="00BF35CE">
        <w:rPr>
          <w:rFonts w:eastAsia="Calibri" w:cs="Arial"/>
          <w:sz w:val="18"/>
          <w:szCs w:val="18"/>
        </w:rPr>
        <w:t xml:space="preserve"> development, renewable energy, fiber and towers, and digital power.</w:t>
      </w:r>
    </w:p>
    <w:p w14:paraId="56FA448C" w14:textId="77777777" w:rsidR="00BF35CE" w:rsidRPr="00BF35CE" w:rsidRDefault="00BF35CE" w:rsidP="00BF35CE">
      <w:pPr>
        <w:ind w:left="0"/>
        <w:rPr>
          <w:rFonts w:eastAsia="Calibri" w:cs="Arial"/>
          <w:sz w:val="18"/>
          <w:szCs w:val="18"/>
        </w:rPr>
      </w:pPr>
    </w:p>
    <w:p w14:paraId="5A248E51" w14:textId="338A53EC" w:rsidR="00BF35CE" w:rsidRPr="00BF35CE" w:rsidRDefault="00BF35CE" w:rsidP="00BF35CE">
      <w:pPr>
        <w:ind w:left="0"/>
        <w:rPr>
          <w:rFonts w:eastAsia="Calibri" w:cs="Arial"/>
          <w:sz w:val="18"/>
          <w:szCs w:val="18"/>
        </w:rPr>
      </w:pPr>
      <w:r w:rsidRPr="2EACF5D3">
        <w:rPr>
          <w:rFonts w:eastAsia="Calibri" w:cs="Arial"/>
          <w:sz w:val="18"/>
          <w:szCs w:val="18"/>
        </w:rPr>
        <w:t xml:space="preserve">“We are excited to partner with three leading firms: </w:t>
      </w:r>
      <w:proofErr w:type="spellStart"/>
      <w:r w:rsidR="00BA2714" w:rsidRPr="2EACF5D3">
        <w:rPr>
          <w:rFonts w:eastAsia="Calibri" w:cs="Arial"/>
          <w:sz w:val="18"/>
          <w:szCs w:val="18"/>
        </w:rPr>
        <w:t>DigitalBridge</w:t>
      </w:r>
      <w:proofErr w:type="spellEnd"/>
      <w:r w:rsidR="00BA2714" w:rsidRPr="2EACF5D3">
        <w:rPr>
          <w:rFonts w:eastAsia="Calibri" w:cs="Arial"/>
          <w:sz w:val="18"/>
          <w:szCs w:val="18"/>
        </w:rPr>
        <w:t>,</w:t>
      </w:r>
      <w:r w:rsidR="00BA2714">
        <w:rPr>
          <w:rFonts w:eastAsia="Calibri" w:cs="Arial"/>
          <w:sz w:val="18"/>
          <w:szCs w:val="18"/>
        </w:rPr>
        <w:t xml:space="preserve"> </w:t>
      </w:r>
      <w:r w:rsidRPr="2EACF5D3">
        <w:rPr>
          <w:rFonts w:eastAsia="Calibri" w:cs="Arial"/>
          <w:sz w:val="18"/>
          <w:szCs w:val="18"/>
        </w:rPr>
        <w:t xml:space="preserve">CIP, </w:t>
      </w:r>
      <w:r w:rsidR="00733DB0" w:rsidRPr="2EACF5D3">
        <w:rPr>
          <w:rFonts w:eastAsia="Calibri" w:cs="Arial"/>
          <w:sz w:val="18"/>
          <w:szCs w:val="18"/>
        </w:rPr>
        <w:t xml:space="preserve">and </w:t>
      </w:r>
      <w:r w:rsidR="00BA2714" w:rsidRPr="2EACF5D3">
        <w:rPr>
          <w:rFonts w:eastAsia="Calibri" w:cs="Arial"/>
          <w:sz w:val="18"/>
          <w:szCs w:val="18"/>
        </w:rPr>
        <w:t xml:space="preserve">Actis, </w:t>
      </w:r>
      <w:r w:rsidRPr="2EACF5D3">
        <w:rPr>
          <w:rFonts w:eastAsia="Calibri" w:cs="Arial"/>
          <w:sz w:val="18"/>
          <w:szCs w:val="18"/>
        </w:rPr>
        <w:t>in response to a compelling market demand for allocations to infrastructure,” said Jenny Johnson, President and CEO, Franklin Templeton. “The trends shaping the private markets present an opportunity to broaden access to capital and advance the availability of investments in energy security, electrification, and digitalization, and this is a unique opportunity for investors to unlock that potential.”</w:t>
      </w:r>
    </w:p>
    <w:p w14:paraId="4774A300" w14:textId="77777777" w:rsidR="00BF35CE" w:rsidRPr="00BF35CE" w:rsidRDefault="00BF35CE" w:rsidP="00BF35CE">
      <w:pPr>
        <w:ind w:left="0"/>
        <w:rPr>
          <w:rFonts w:eastAsia="Calibri" w:cs="Arial"/>
          <w:sz w:val="18"/>
          <w:szCs w:val="18"/>
        </w:rPr>
      </w:pPr>
    </w:p>
    <w:p w14:paraId="609E0E37" w14:textId="3022427A" w:rsidR="00BF35CE" w:rsidRDefault="00BF35CE" w:rsidP="00BF35CE">
      <w:pPr>
        <w:ind w:left="0"/>
        <w:rPr>
          <w:rFonts w:eastAsia="Calibri" w:cs="Arial"/>
          <w:sz w:val="18"/>
          <w:szCs w:val="18"/>
        </w:rPr>
      </w:pPr>
      <w:r w:rsidRPr="00BF35CE">
        <w:rPr>
          <w:rFonts w:eastAsia="Calibri" w:cs="Arial"/>
          <w:sz w:val="18"/>
          <w:szCs w:val="18"/>
        </w:rPr>
        <w:t>By 2040, global infrastructure needs are expected to surpass $9</w:t>
      </w:r>
      <w:r w:rsidR="005D4706">
        <w:rPr>
          <w:rFonts w:eastAsia="Calibri" w:cs="Arial"/>
          <w:sz w:val="18"/>
          <w:szCs w:val="18"/>
        </w:rPr>
        <w:t>4</w:t>
      </w:r>
      <w:r w:rsidRPr="00BF35CE">
        <w:rPr>
          <w:rFonts w:eastAsia="Calibri" w:cs="Arial"/>
          <w:sz w:val="18"/>
          <w:szCs w:val="18"/>
        </w:rPr>
        <w:t xml:space="preserve"> trillion, representing a</w:t>
      </w:r>
      <w:r w:rsidR="00D30E16">
        <w:rPr>
          <w:rFonts w:eastAsia="Calibri" w:cs="Arial"/>
          <w:sz w:val="18"/>
          <w:szCs w:val="18"/>
        </w:rPr>
        <w:t>n estimated</w:t>
      </w:r>
      <w:r w:rsidRPr="00BF35CE">
        <w:rPr>
          <w:rFonts w:eastAsia="Calibri" w:cs="Arial"/>
          <w:sz w:val="18"/>
          <w:szCs w:val="18"/>
        </w:rPr>
        <w:t xml:space="preserve"> $15 trillion capital opportunity for private investors.</w:t>
      </w:r>
      <w:r w:rsidRPr="00BF35CE">
        <w:rPr>
          <w:rFonts w:eastAsia="Calibri" w:cs="Arial"/>
          <w:sz w:val="18"/>
          <w:szCs w:val="18"/>
          <w:vertAlign w:val="superscript"/>
        </w:rPr>
        <w:footnoteReference w:id="2"/>
      </w:r>
      <w:r w:rsidRPr="00BF35CE">
        <w:rPr>
          <w:rFonts w:eastAsia="Calibri" w:cs="Arial"/>
          <w:sz w:val="18"/>
          <w:szCs w:val="18"/>
        </w:rPr>
        <w:t xml:space="preserve"> Through this </w:t>
      </w:r>
      <w:r w:rsidR="00E41B5A">
        <w:rPr>
          <w:rFonts w:eastAsia="Calibri" w:cs="Arial"/>
          <w:sz w:val="18"/>
          <w:szCs w:val="18"/>
        </w:rPr>
        <w:t xml:space="preserve">strategic </w:t>
      </w:r>
      <w:r w:rsidRPr="00BF35CE">
        <w:rPr>
          <w:rFonts w:eastAsia="Calibri" w:cs="Arial"/>
          <w:sz w:val="18"/>
          <w:szCs w:val="18"/>
        </w:rPr>
        <w:t xml:space="preserve">partnership, Franklin Templeton, together with three leading managers, will bring together complementary expertise to address this demand and deliver </w:t>
      </w:r>
      <w:r w:rsidR="2E2A18C1" w:rsidRPr="00BF35CE">
        <w:rPr>
          <w:rFonts w:eastAsia="Calibri" w:cs="Arial"/>
          <w:sz w:val="18"/>
          <w:szCs w:val="18"/>
        </w:rPr>
        <w:t>attractive investment opportunities</w:t>
      </w:r>
      <w:r w:rsidRPr="00BF35CE">
        <w:rPr>
          <w:rFonts w:eastAsia="Calibri" w:cs="Arial"/>
          <w:sz w:val="18"/>
          <w:szCs w:val="18"/>
        </w:rPr>
        <w:t xml:space="preserve">: </w:t>
      </w:r>
    </w:p>
    <w:p w14:paraId="5F2A8637" w14:textId="77777777" w:rsidR="00BF35CE" w:rsidRPr="00BF35CE" w:rsidRDefault="00BF35CE" w:rsidP="00BF35CE">
      <w:pPr>
        <w:ind w:left="0"/>
        <w:rPr>
          <w:rFonts w:eastAsia="Calibri" w:cs="Arial"/>
          <w:sz w:val="18"/>
          <w:szCs w:val="18"/>
        </w:rPr>
      </w:pPr>
    </w:p>
    <w:p w14:paraId="7DC9C463" w14:textId="77777777" w:rsidR="009941B9" w:rsidRPr="00BF35CE" w:rsidRDefault="009941B9" w:rsidP="009941B9">
      <w:pPr>
        <w:pStyle w:val="ListParagraph"/>
        <w:numPr>
          <w:ilvl w:val="0"/>
          <w:numId w:val="32"/>
        </w:numPr>
        <w:rPr>
          <w:rFonts w:eastAsia="Calibri" w:cs="Arial"/>
          <w:sz w:val="18"/>
          <w:szCs w:val="18"/>
        </w:rPr>
      </w:pPr>
      <w:proofErr w:type="spellStart"/>
      <w:r w:rsidRPr="198C521E">
        <w:rPr>
          <w:rFonts w:eastAsia="Calibri" w:cs="Arial"/>
          <w:i/>
          <w:iCs/>
          <w:sz w:val="18"/>
          <w:szCs w:val="18"/>
        </w:rPr>
        <w:t>DigitalBridge</w:t>
      </w:r>
      <w:proofErr w:type="spellEnd"/>
      <w:r w:rsidRPr="198C521E">
        <w:rPr>
          <w:rFonts w:eastAsia="Calibri" w:cs="Arial"/>
          <w:i/>
          <w:iCs/>
          <w:sz w:val="18"/>
          <w:szCs w:val="18"/>
        </w:rPr>
        <w:t xml:space="preserve"> (AUM: USD$106 billion</w:t>
      </w:r>
      <w:r w:rsidRPr="198C521E">
        <w:rPr>
          <w:rFonts w:eastAsia="Calibri" w:cs="Arial"/>
          <w:i/>
          <w:iCs/>
          <w:sz w:val="18"/>
          <w:szCs w:val="18"/>
          <w:vertAlign w:val="superscript"/>
        </w:rPr>
        <w:footnoteReference w:id="3"/>
      </w:r>
      <w:r w:rsidRPr="198C521E">
        <w:rPr>
          <w:rFonts w:eastAsia="Calibri" w:cs="Arial"/>
          <w:i/>
          <w:iCs/>
          <w:sz w:val="18"/>
          <w:szCs w:val="18"/>
        </w:rPr>
        <w:t xml:space="preserve">) </w:t>
      </w:r>
      <w:r w:rsidRPr="198C521E">
        <w:rPr>
          <w:rFonts w:eastAsia="Calibri" w:cs="Arial"/>
          <w:sz w:val="18"/>
          <w:szCs w:val="18"/>
        </w:rPr>
        <w:t>is a leader in global-scale digital infrastructure investing, which provides opportunities to capitalize on the ever-growing digital evolution, including artificial intelligence, by deploying capital across five key verticals: data centers, cell towers, fiber networks, small cells, and edge infrastructure.</w:t>
      </w:r>
    </w:p>
    <w:p w14:paraId="7ABEA33F" w14:textId="2BDB1760" w:rsidR="00733DB0" w:rsidRPr="00BF35CE" w:rsidRDefault="5DC8DDBC" w:rsidP="00733DB0">
      <w:pPr>
        <w:numPr>
          <w:ilvl w:val="0"/>
          <w:numId w:val="32"/>
        </w:numPr>
        <w:rPr>
          <w:rFonts w:eastAsia="Calibri" w:cs="Arial"/>
          <w:sz w:val="18"/>
          <w:szCs w:val="18"/>
        </w:rPr>
      </w:pPr>
      <w:r w:rsidRPr="198C521E">
        <w:rPr>
          <w:rFonts w:eastAsia="Calibri" w:cs="Arial"/>
          <w:i/>
          <w:iCs/>
          <w:sz w:val="18"/>
          <w:szCs w:val="18"/>
        </w:rPr>
        <w:t>Copenhagen Infrastructure Partners</w:t>
      </w:r>
      <w:r w:rsidRPr="198C521E">
        <w:rPr>
          <w:rFonts w:eastAsia="Calibri" w:cs="Arial"/>
          <w:sz w:val="18"/>
          <w:szCs w:val="18"/>
        </w:rPr>
        <w:t xml:space="preserve"> </w:t>
      </w:r>
      <w:r w:rsidRPr="198C521E">
        <w:rPr>
          <w:rFonts w:eastAsia="Calibri" w:cs="Arial"/>
          <w:i/>
          <w:iCs/>
          <w:sz w:val="18"/>
          <w:szCs w:val="18"/>
        </w:rPr>
        <w:t>([AUM]: USD$37 billion</w:t>
      </w:r>
      <w:r w:rsidRPr="198C521E">
        <w:rPr>
          <w:rFonts w:eastAsia="Calibri" w:cs="Arial"/>
          <w:sz w:val="18"/>
          <w:szCs w:val="18"/>
          <w:vertAlign w:val="superscript"/>
        </w:rPr>
        <w:t>2</w:t>
      </w:r>
      <w:r w:rsidRPr="198C521E">
        <w:rPr>
          <w:rFonts w:eastAsia="Calibri" w:cs="Arial"/>
          <w:i/>
          <w:iCs/>
          <w:sz w:val="18"/>
          <w:szCs w:val="18"/>
        </w:rPr>
        <w:t xml:space="preserve">) </w:t>
      </w:r>
      <w:r w:rsidRPr="00874C14">
        <w:rPr>
          <w:rFonts w:eastAsia="Calibri" w:cs="Arial"/>
          <w:sz w:val="18"/>
          <w:szCs w:val="18"/>
        </w:rPr>
        <w:t>is the world’s largest dedicated fund manager</w:t>
      </w:r>
      <w:r w:rsidRPr="198C521E">
        <w:rPr>
          <w:rFonts w:eastAsia="Calibri" w:cs="Arial"/>
          <w:sz w:val="18"/>
          <w:szCs w:val="18"/>
        </w:rPr>
        <w:t xml:space="preserve"> within greenfield energy investments. Through its broad portfolio of energy infrastructure projects and industry expertise, CIP enables the partnership to take full advantage of the opportunities emerging from the global energy transition. </w:t>
      </w:r>
    </w:p>
    <w:p w14:paraId="4FA4FEAF" w14:textId="2C5E34ED" w:rsidR="00733DB0" w:rsidRPr="00BF35CE" w:rsidRDefault="00733DB0" w:rsidP="00733DB0">
      <w:pPr>
        <w:numPr>
          <w:ilvl w:val="0"/>
          <w:numId w:val="32"/>
        </w:numPr>
        <w:rPr>
          <w:rFonts w:eastAsia="Calibri" w:cs="Arial"/>
          <w:sz w:val="18"/>
          <w:szCs w:val="18"/>
        </w:rPr>
      </w:pPr>
      <w:r w:rsidRPr="198C521E">
        <w:rPr>
          <w:rFonts w:eastAsia="Calibri" w:cs="Arial"/>
          <w:i/>
          <w:iCs/>
          <w:sz w:val="18"/>
          <w:szCs w:val="18"/>
        </w:rPr>
        <w:t>Actis</w:t>
      </w:r>
      <w:r w:rsidRPr="00BF35CE">
        <w:rPr>
          <w:rFonts w:eastAsia="Calibri" w:cs="Arial"/>
          <w:sz w:val="18"/>
          <w:szCs w:val="18"/>
        </w:rPr>
        <w:t xml:space="preserve"> </w:t>
      </w:r>
      <w:r w:rsidRPr="198C521E">
        <w:rPr>
          <w:rFonts w:eastAsia="Calibri" w:cs="Arial"/>
          <w:i/>
          <w:iCs/>
          <w:sz w:val="18"/>
          <w:szCs w:val="18"/>
        </w:rPr>
        <w:t>(AUM: USD$16 billion</w:t>
      </w:r>
      <w:r w:rsidR="00504A82" w:rsidRPr="198C521E">
        <w:rPr>
          <w:rFonts w:eastAsia="Calibri" w:cs="Arial"/>
          <w:i/>
          <w:iCs/>
          <w:sz w:val="18"/>
          <w:szCs w:val="18"/>
          <w:vertAlign w:val="superscript"/>
        </w:rPr>
        <w:footnoteReference w:id="4"/>
      </w:r>
      <w:r w:rsidRPr="198C521E">
        <w:rPr>
          <w:rFonts w:eastAsia="Calibri" w:cs="Arial"/>
          <w:i/>
          <w:iCs/>
          <w:sz w:val="18"/>
          <w:szCs w:val="18"/>
        </w:rPr>
        <w:t>)</w:t>
      </w:r>
      <w:r w:rsidRPr="00BF35CE">
        <w:rPr>
          <w:rFonts w:eastAsia="Calibri" w:cs="Arial"/>
          <w:sz w:val="18"/>
          <w:szCs w:val="18"/>
        </w:rPr>
        <w:t xml:space="preserve">, the Sustainable Infrastructure business of General Atlantic, a leading global investor (USD$114 billion), is a growth market specialist. For over two decades, Actis has invested in critical infrastructure assets with defensive profiles across power, transmission, transport, and digital sectors worldwide.   </w:t>
      </w:r>
    </w:p>
    <w:p w14:paraId="60891D4F" w14:textId="79CDB4A6" w:rsidR="00BF35CE" w:rsidRPr="00BF35CE" w:rsidRDefault="00BF35CE" w:rsidP="198C521E">
      <w:pPr>
        <w:ind w:left="720"/>
        <w:rPr>
          <w:rFonts w:eastAsia="Calibri" w:cs="Arial"/>
          <w:sz w:val="18"/>
          <w:szCs w:val="18"/>
          <w:lang w:val="en-GB"/>
        </w:rPr>
      </w:pPr>
    </w:p>
    <w:p w14:paraId="34B098D0" w14:textId="19F06351" w:rsidR="7E7A98EF" w:rsidRDefault="7E7A98EF" w:rsidP="52AE444A">
      <w:pPr>
        <w:ind w:left="0"/>
        <w:rPr>
          <w:rFonts w:eastAsia="Calibri" w:cs="Arial"/>
          <w:sz w:val="18"/>
          <w:szCs w:val="18"/>
        </w:rPr>
      </w:pPr>
      <w:r w:rsidRPr="52AE444A">
        <w:rPr>
          <w:rFonts w:eastAsia="Calibri" w:cs="Arial"/>
          <w:sz w:val="18"/>
          <w:szCs w:val="18"/>
        </w:rPr>
        <w:t xml:space="preserve">“Digital infrastructure is a core driver of the global economy, and private wealth investors are increasingly seeking access to opportunities that have traditionally been reserved for institutions,” said Marc Ganzi, CEO of </w:t>
      </w:r>
      <w:proofErr w:type="spellStart"/>
      <w:r w:rsidRPr="52AE444A">
        <w:rPr>
          <w:rFonts w:eastAsia="Calibri" w:cs="Arial"/>
          <w:sz w:val="18"/>
          <w:szCs w:val="18"/>
        </w:rPr>
        <w:t>DigitalBridge</w:t>
      </w:r>
      <w:proofErr w:type="spellEnd"/>
      <w:r w:rsidRPr="52AE444A">
        <w:rPr>
          <w:rFonts w:eastAsia="Calibri" w:cs="Arial"/>
          <w:sz w:val="18"/>
          <w:szCs w:val="18"/>
        </w:rPr>
        <w:t>. “Partnering with a global distribution leader like Franklin Templeton allows us to broaden access to this asset class at a pivotal moment, as artificial intelligence, electrification, and next-generation connectivity accelerate demand for digital and energy infrastructure. By combining our sector expertise with Franklin Templeton’s reach in private wealth, we are creating a platform designed to deliver institutional-quality opportunities to a broader set of investors.”</w:t>
      </w:r>
    </w:p>
    <w:p w14:paraId="6F8F736B" w14:textId="15825C12" w:rsidR="00FC051B" w:rsidRDefault="00FC051B">
      <w:pPr>
        <w:ind w:left="0"/>
        <w:rPr>
          <w:rFonts w:eastAsia="Calibri" w:cs="Arial"/>
          <w:sz w:val="18"/>
          <w:szCs w:val="18"/>
          <w:lang w:val="en-GB"/>
        </w:rPr>
      </w:pPr>
    </w:p>
    <w:p w14:paraId="59B57176" w14:textId="3C3F9DA4" w:rsidR="003959C0" w:rsidRPr="00BF35CE" w:rsidRDefault="003959C0" w:rsidP="003959C0">
      <w:pPr>
        <w:ind w:left="0"/>
        <w:rPr>
          <w:rFonts w:eastAsia="Calibri" w:cs="Arial"/>
          <w:sz w:val="18"/>
          <w:szCs w:val="18"/>
          <w:lang w:val="en-GB"/>
        </w:rPr>
      </w:pPr>
      <w:r w:rsidRPr="00BF35CE">
        <w:rPr>
          <w:rFonts w:eastAsia="Calibri" w:cs="Arial"/>
          <w:sz w:val="18"/>
          <w:szCs w:val="18"/>
          <w:lang w:val="en-GB"/>
        </w:rPr>
        <w:lastRenderedPageBreak/>
        <w:t>“We are delighted to join this partnership for the development of critical global infrastructure, and energy infrastructure in particular,” said Christian Skakkebæk, Senior Partner at CIP. “As pioneers in providing energy and electrification solutions, we look forward to contributing our distinct industrial approach to value creation, based on investing in greenfield projects and developing them from the ground up</w:t>
      </w:r>
      <w:r w:rsidRPr="00BF35CE">
        <w:rPr>
          <w:rFonts w:eastAsia="Calibri" w:cs="Arial"/>
          <w:sz w:val="18"/>
          <w:szCs w:val="18"/>
        </w:rPr>
        <w:t xml:space="preserve">. </w:t>
      </w:r>
      <w:r w:rsidRPr="00BF35CE">
        <w:rPr>
          <w:rFonts w:eastAsia="Calibri" w:cs="Arial"/>
          <w:sz w:val="18"/>
          <w:szCs w:val="18"/>
          <w:lang w:val="en-GB"/>
        </w:rPr>
        <w:t xml:space="preserve">This collaboration is the first of its kind, </w:t>
      </w:r>
      <w:r w:rsidRPr="00C60E1E">
        <w:rPr>
          <w:rFonts w:eastAsia="Calibri" w:cs="Arial"/>
          <w:sz w:val="18"/>
          <w:szCs w:val="18"/>
          <w:lang w:val="en-GB"/>
        </w:rPr>
        <w:t>marking a significant milestone for investors looking to strengthen their portfolios with private infrastructure</w:t>
      </w:r>
      <w:r w:rsidRPr="00BF35CE">
        <w:rPr>
          <w:rFonts w:eastAsia="Calibri" w:cs="Arial"/>
          <w:sz w:val="18"/>
          <w:szCs w:val="18"/>
          <w:lang w:val="en-GB"/>
        </w:rPr>
        <w:t>.”</w:t>
      </w:r>
    </w:p>
    <w:p w14:paraId="20CEA2F9" w14:textId="77777777" w:rsidR="003959C0" w:rsidRPr="00BF35CE" w:rsidRDefault="003959C0" w:rsidP="003959C0">
      <w:pPr>
        <w:ind w:left="0"/>
        <w:rPr>
          <w:rFonts w:eastAsia="Calibri" w:cs="Arial"/>
          <w:sz w:val="18"/>
          <w:szCs w:val="18"/>
        </w:rPr>
      </w:pPr>
    </w:p>
    <w:p w14:paraId="3073A7C3" w14:textId="20C9F200" w:rsidR="00733DB0" w:rsidRDefault="00C61E9B" w:rsidP="00733DB0">
      <w:pPr>
        <w:ind w:left="0"/>
        <w:rPr>
          <w:rFonts w:eastAsia="Calibri" w:cs="Arial"/>
          <w:sz w:val="18"/>
          <w:szCs w:val="18"/>
        </w:rPr>
      </w:pPr>
      <w:r>
        <w:rPr>
          <w:rFonts w:eastAsia="Calibri" w:cs="Arial"/>
          <w:sz w:val="18"/>
          <w:szCs w:val="18"/>
        </w:rPr>
        <w:t>“</w:t>
      </w:r>
      <w:r w:rsidRPr="00C61E9B">
        <w:rPr>
          <w:rFonts w:eastAsia="Calibri" w:cs="Arial"/>
          <w:sz w:val="18"/>
          <w:szCs w:val="18"/>
        </w:rPr>
        <w:t xml:space="preserve">We are building critical infrastructure across energy, digital, transport, and other high-growth sectors, supported by disciplined, hands-on investment capital,” said Torbjorn Caesar, Chairman of Actis. “Investors today are seeking resilience, scale, and relevance – qualities that define Actis’ sustainable infrastructure platform in growth markets. Through this strategic partnership, we look forward to expanding access to our investment platform and delivering long-term </w:t>
      </w:r>
      <w:proofErr w:type="gramStart"/>
      <w:r w:rsidRPr="00C61E9B">
        <w:rPr>
          <w:rFonts w:eastAsia="Calibri" w:cs="Arial"/>
          <w:sz w:val="18"/>
          <w:szCs w:val="18"/>
        </w:rPr>
        <w:t>value.”</w:t>
      </w:r>
      <w:proofErr w:type="gramEnd"/>
    </w:p>
    <w:p w14:paraId="198B9FF5" w14:textId="77777777" w:rsidR="00C61E9B" w:rsidRPr="00BF35CE" w:rsidRDefault="00C61E9B" w:rsidP="00733DB0">
      <w:pPr>
        <w:ind w:left="0"/>
        <w:rPr>
          <w:rFonts w:eastAsia="Calibri" w:cs="Arial"/>
          <w:sz w:val="18"/>
          <w:szCs w:val="18"/>
        </w:rPr>
      </w:pPr>
    </w:p>
    <w:p w14:paraId="7DB8E951" w14:textId="47F60C57" w:rsidR="00BF35CE" w:rsidRPr="00BF35CE" w:rsidRDefault="00BF35CE" w:rsidP="00BF35CE">
      <w:pPr>
        <w:ind w:left="0"/>
        <w:rPr>
          <w:rFonts w:eastAsia="Calibri" w:cs="Arial"/>
          <w:sz w:val="18"/>
          <w:szCs w:val="18"/>
        </w:rPr>
      </w:pPr>
      <w:r w:rsidRPr="00BF35CE">
        <w:rPr>
          <w:rFonts w:eastAsia="Calibri" w:cs="Arial"/>
          <w:sz w:val="18"/>
          <w:szCs w:val="18"/>
        </w:rPr>
        <w:t xml:space="preserve">Once launched, the expanded suite of private wealth offerings will </w:t>
      </w:r>
      <w:r w:rsidR="00E41B5A">
        <w:rPr>
          <w:rFonts w:eastAsia="Calibri" w:cs="Arial"/>
          <w:sz w:val="18"/>
          <w:szCs w:val="18"/>
        </w:rPr>
        <w:t xml:space="preserve">seek to </w:t>
      </w:r>
      <w:r w:rsidRPr="00BF35CE">
        <w:rPr>
          <w:rFonts w:eastAsia="Calibri" w:cs="Arial"/>
          <w:sz w:val="18"/>
          <w:szCs w:val="18"/>
        </w:rPr>
        <w:t xml:space="preserve">deliver institutional-quality private infrastructure access. The investment profile is expected to provide stable inflation-linked cash flows. These solutions are </w:t>
      </w:r>
      <w:r w:rsidR="00E41B5A">
        <w:rPr>
          <w:rFonts w:eastAsia="Calibri" w:cs="Arial"/>
          <w:sz w:val="18"/>
          <w:szCs w:val="18"/>
        </w:rPr>
        <w:t xml:space="preserve">intended to be </w:t>
      </w:r>
      <w:r w:rsidRPr="00BF35CE">
        <w:rPr>
          <w:rFonts w:eastAsia="Calibri" w:cs="Arial"/>
          <w:sz w:val="18"/>
          <w:szCs w:val="18"/>
        </w:rPr>
        <w:t>built for resilience through economic and market cycles, with exposure to high-growth sectors driving the future of energy, transport, and digital connectivity.</w:t>
      </w:r>
    </w:p>
    <w:p w14:paraId="39DBCA81" w14:textId="77777777" w:rsidR="00BF35CE" w:rsidRPr="00BF35CE" w:rsidRDefault="00BF35CE" w:rsidP="00BF35CE">
      <w:pPr>
        <w:ind w:left="0"/>
        <w:rPr>
          <w:rFonts w:eastAsia="Calibri" w:cs="Arial"/>
          <w:b/>
          <w:bCs/>
          <w:sz w:val="18"/>
          <w:szCs w:val="18"/>
        </w:rPr>
      </w:pPr>
    </w:p>
    <w:p w14:paraId="3FF476ED" w14:textId="77777777" w:rsidR="00BF35CE" w:rsidRPr="00BF35CE" w:rsidRDefault="00BF35CE" w:rsidP="00BF35CE">
      <w:pPr>
        <w:ind w:left="0"/>
        <w:jc w:val="center"/>
        <w:rPr>
          <w:rFonts w:eastAsia="Calibri" w:cs="Arial"/>
          <w:sz w:val="18"/>
          <w:szCs w:val="18"/>
        </w:rPr>
      </w:pPr>
      <w:r w:rsidRPr="00BF35CE">
        <w:rPr>
          <w:rFonts w:eastAsia="Calibri" w:cs="Arial"/>
          <w:sz w:val="18"/>
          <w:szCs w:val="18"/>
        </w:rPr>
        <w:t>###</w:t>
      </w:r>
    </w:p>
    <w:p w14:paraId="04924D1D" w14:textId="2083478E" w:rsidR="00A16E1B" w:rsidRDefault="00A16E1B" w:rsidP="00BF35CE">
      <w:pPr>
        <w:ind w:left="0"/>
        <w:rPr>
          <w:rFonts w:eastAsia="Calibri" w:cs="Arial"/>
          <w:sz w:val="18"/>
          <w:szCs w:val="18"/>
        </w:rPr>
      </w:pPr>
    </w:p>
    <w:p w14:paraId="7B69046E" w14:textId="77777777" w:rsidR="00A16E1B" w:rsidRPr="00A16E1B" w:rsidRDefault="00A16E1B" w:rsidP="00A16E1B">
      <w:pPr>
        <w:rPr>
          <w:rFonts w:eastAsia="Calibri" w:cs="Arial"/>
          <w:sz w:val="18"/>
          <w:szCs w:val="18"/>
        </w:rPr>
      </w:pPr>
    </w:p>
    <w:p w14:paraId="34C807CF" w14:textId="77777777" w:rsidR="00733DB0" w:rsidRDefault="00733DB0" w:rsidP="00733DB0">
      <w:pPr>
        <w:ind w:left="0"/>
        <w:rPr>
          <w:rFonts w:eastAsia="Calibri" w:cs="Arial"/>
          <w:b/>
          <w:bCs/>
          <w:sz w:val="18"/>
          <w:szCs w:val="18"/>
        </w:rPr>
      </w:pPr>
      <w:r w:rsidRPr="00BF35CE">
        <w:rPr>
          <w:rFonts w:eastAsia="Calibri" w:cs="Arial"/>
          <w:b/>
          <w:bCs/>
          <w:sz w:val="18"/>
          <w:szCs w:val="18"/>
        </w:rPr>
        <w:t>About Actis (a part of General Atlantic)</w:t>
      </w:r>
    </w:p>
    <w:p w14:paraId="78E06EFB" w14:textId="77777777" w:rsidR="00733DB0" w:rsidRPr="00BF35CE" w:rsidRDefault="00733DB0" w:rsidP="00733DB0">
      <w:pPr>
        <w:ind w:left="0"/>
        <w:rPr>
          <w:rFonts w:eastAsia="Calibri" w:cs="Arial"/>
          <w:sz w:val="18"/>
          <w:szCs w:val="18"/>
        </w:rPr>
      </w:pPr>
      <w:r w:rsidRPr="00BF35CE">
        <w:rPr>
          <w:rFonts w:eastAsia="Calibri" w:cs="Arial"/>
          <w:sz w:val="18"/>
          <w:szCs w:val="18"/>
        </w:rPr>
        <w:t xml:space="preserve">Actis is a growth market investor in sustainable infrastructure. Actis has been building and operating critical infrastructure focused on essential services for over 20 years. This includes electricity, toll roads, digital infrastructure and new </w:t>
      </w:r>
      <w:proofErr w:type="gramStart"/>
      <w:r w:rsidRPr="00BF35CE">
        <w:rPr>
          <w:rFonts w:eastAsia="Calibri" w:cs="Arial"/>
          <w:sz w:val="18"/>
          <w:szCs w:val="18"/>
        </w:rPr>
        <w:t>economy</w:t>
      </w:r>
      <w:proofErr w:type="gramEnd"/>
      <w:r w:rsidRPr="00BF35CE">
        <w:rPr>
          <w:rFonts w:eastAsia="Calibri" w:cs="Arial"/>
          <w:sz w:val="18"/>
          <w:szCs w:val="18"/>
        </w:rPr>
        <w:t xml:space="preserve"> real estate, across 60 countries currently. Since inception, Actis has raised US $27 billion. </w:t>
      </w:r>
    </w:p>
    <w:p w14:paraId="550E8AC5" w14:textId="77777777" w:rsidR="00733DB0" w:rsidRPr="00BF35CE" w:rsidRDefault="00733DB0" w:rsidP="00733DB0">
      <w:pPr>
        <w:ind w:left="0"/>
        <w:rPr>
          <w:rFonts w:eastAsia="Calibri" w:cs="Arial"/>
          <w:sz w:val="18"/>
          <w:szCs w:val="18"/>
        </w:rPr>
      </w:pPr>
    </w:p>
    <w:p w14:paraId="29EE7D83" w14:textId="77777777" w:rsidR="00733DB0" w:rsidRPr="00BF35CE" w:rsidRDefault="00733DB0" w:rsidP="00733DB0">
      <w:pPr>
        <w:ind w:left="0"/>
        <w:rPr>
          <w:rFonts w:eastAsia="Calibri" w:cs="Arial"/>
          <w:sz w:val="18"/>
          <w:szCs w:val="18"/>
          <w:lang w:val="en-GB"/>
        </w:rPr>
      </w:pPr>
      <w:r w:rsidRPr="00BF35CE">
        <w:rPr>
          <w:rFonts w:eastAsia="Calibri" w:cs="Arial"/>
          <w:sz w:val="18"/>
          <w:szCs w:val="18"/>
        </w:rPr>
        <w:t xml:space="preserve">Actis is a specialist growth market investor with an industrialist mindset and </w:t>
      </w:r>
      <w:r w:rsidRPr="00BF35CE">
        <w:rPr>
          <w:rFonts w:eastAsia="Calibri" w:cs="Arial"/>
          <w:sz w:val="18"/>
          <w:szCs w:val="18"/>
          <w:lang w:val="en-GB"/>
        </w:rPr>
        <w:t xml:space="preserve">decades of operationalising sustainability. Sustainability is fully integrated into the investment process and is key to how the firm mitigates risk and creates value </w:t>
      </w:r>
      <w:r w:rsidRPr="00BF35CE">
        <w:rPr>
          <w:rFonts w:eastAsia="Calibri" w:cs="Arial"/>
          <w:sz w:val="18"/>
          <w:szCs w:val="18"/>
        </w:rPr>
        <w:t>and future-proofs its assets.</w:t>
      </w:r>
      <w:r w:rsidRPr="00BF35CE">
        <w:rPr>
          <w:rFonts w:eastAsia="Calibri" w:cs="Arial"/>
          <w:sz w:val="18"/>
          <w:szCs w:val="18"/>
          <w:lang w:val="en-GB"/>
        </w:rPr>
        <w:t xml:space="preserve">   </w:t>
      </w:r>
    </w:p>
    <w:p w14:paraId="3D51CB2E" w14:textId="77777777" w:rsidR="00733DB0" w:rsidRPr="00BF35CE" w:rsidRDefault="00733DB0" w:rsidP="00733DB0">
      <w:pPr>
        <w:ind w:left="0"/>
        <w:rPr>
          <w:rFonts w:eastAsia="Calibri" w:cs="Arial"/>
          <w:sz w:val="18"/>
          <w:szCs w:val="18"/>
        </w:rPr>
      </w:pPr>
    </w:p>
    <w:p w14:paraId="5A26B816" w14:textId="71606048" w:rsidR="00733DB0" w:rsidRDefault="00356F3D" w:rsidP="00733DB0">
      <w:pPr>
        <w:ind w:left="0"/>
        <w:rPr>
          <w:rFonts w:eastAsia="Calibri" w:cs="Arial"/>
          <w:sz w:val="18"/>
          <w:szCs w:val="18"/>
        </w:rPr>
      </w:pPr>
      <w:r w:rsidRPr="00356F3D">
        <w:rPr>
          <w:rFonts w:eastAsia="Calibri" w:cs="Arial"/>
          <w:sz w:val="18"/>
          <w:szCs w:val="18"/>
        </w:rPr>
        <w:t>In October 2024, Actis joined forces with General Atlantic, a leading global investor in the private markets, creating a diversified investment platform spanning Growth Equity, Credit, Climate, and Infrastructure strategies. As of June 30, 2025, General Atlantic manages approximately US$114 billion in combined assets under management, inclusive of all strategies with more than 900 professionals in 20 countries across five regions.</w:t>
      </w:r>
    </w:p>
    <w:p w14:paraId="45136331" w14:textId="77777777" w:rsidR="00356F3D" w:rsidRDefault="00356F3D" w:rsidP="00733DB0">
      <w:pPr>
        <w:ind w:left="0"/>
        <w:rPr>
          <w:rFonts w:eastAsia="Calibri" w:cs="Arial"/>
          <w:b/>
          <w:bCs/>
          <w:sz w:val="18"/>
          <w:szCs w:val="18"/>
        </w:rPr>
      </w:pPr>
    </w:p>
    <w:p w14:paraId="1A710D6B" w14:textId="77777777" w:rsidR="00733DB0" w:rsidRPr="00BF35CE" w:rsidRDefault="00733DB0" w:rsidP="00733DB0">
      <w:pPr>
        <w:ind w:left="0"/>
        <w:rPr>
          <w:rFonts w:eastAsia="Calibri" w:cs="Arial"/>
          <w:b/>
          <w:bCs/>
          <w:sz w:val="18"/>
          <w:szCs w:val="18"/>
        </w:rPr>
      </w:pPr>
      <w:r w:rsidRPr="00BF35CE">
        <w:rPr>
          <w:rFonts w:eastAsia="Calibri" w:cs="Arial"/>
          <w:b/>
          <w:bCs/>
          <w:sz w:val="18"/>
          <w:szCs w:val="18"/>
        </w:rPr>
        <w:t>Actis</w:t>
      </w:r>
    </w:p>
    <w:p w14:paraId="2813235F" w14:textId="77777777" w:rsidR="00733DB0" w:rsidRPr="00BF35CE" w:rsidRDefault="00733DB0" w:rsidP="00733DB0">
      <w:pPr>
        <w:ind w:left="0"/>
        <w:rPr>
          <w:rFonts w:eastAsia="Calibri" w:cs="Arial"/>
          <w:sz w:val="18"/>
          <w:szCs w:val="18"/>
        </w:rPr>
      </w:pPr>
      <w:hyperlink r:id="rId13" w:history="1">
        <w:r w:rsidRPr="00BF35CE">
          <w:rPr>
            <w:rStyle w:val="Hyperlink"/>
            <w:rFonts w:eastAsia="Calibri" w:cs="Arial"/>
            <w:sz w:val="18"/>
            <w:szCs w:val="18"/>
          </w:rPr>
          <w:t>media@generalatlantic.com</w:t>
        </w:r>
      </w:hyperlink>
      <w:r w:rsidRPr="00BF35CE">
        <w:rPr>
          <w:rFonts w:eastAsia="Calibri" w:cs="Arial"/>
          <w:sz w:val="18"/>
          <w:szCs w:val="18"/>
        </w:rPr>
        <w:t xml:space="preserve"> </w:t>
      </w:r>
    </w:p>
    <w:p w14:paraId="463C29A4" w14:textId="77777777" w:rsidR="00733DB0" w:rsidRDefault="00733DB0" w:rsidP="00BF35CE">
      <w:pPr>
        <w:ind w:left="0"/>
        <w:rPr>
          <w:rFonts w:eastAsia="Calibri" w:cs="Arial"/>
          <w:b/>
          <w:bCs/>
          <w:sz w:val="18"/>
          <w:szCs w:val="18"/>
        </w:rPr>
      </w:pPr>
    </w:p>
    <w:p w14:paraId="4E1707E1" w14:textId="28B1C0BF" w:rsidR="00BF35CE" w:rsidRPr="00BF35CE" w:rsidRDefault="00BF35CE" w:rsidP="00BF35CE">
      <w:pPr>
        <w:ind w:left="0"/>
        <w:rPr>
          <w:rFonts w:eastAsia="Calibri" w:cs="Arial"/>
          <w:sz w:val="18"/>
          <w:szCs w:val="18"/>
        </w:rPr>
      </w:pPr>
      <w:r w:rsidRPr="00BF35CE">
        <w:rPr>
          <w:rFonts w:eastAsia="Calibri" w:cs="Arial"/>
          <w:b/>
          <w:bCs/>
          <w:sz w:val="18"/>
          <w:szCs w:val="18"/>
        </w:rPr>
        <w:t>Copenhagen Infrastructure Partners (CIP)</w:t>
      </w:r>
      <w:r w:rsidRPr="00BF35CE">
        <w:rPr>
          <w:rFonts w:eastAsia="Calibri" w:cs="Arial"/>
          <w:b/>
          <w:bCs/>
          <w:sz w:val="18"/>
          <w:szCs w:val="18"/>
        </w:rPr>
        <w:br/>
      </w:r>
      <w:r w:rsidRPr="00BF35CE">
        <w:rPr>
          <w:rFonts w:eastAsia="Calibri" w:cs="Arial"/>
          <w:sz w:val="18"/>
          <w:szCs w:val="18"/>
        </w:rPr>
        <w:t>Founded in 2012, Copenhagen Infrastructure Partners P/S (CIP) today is the world’s largest dedicated fund manager within greenfield energy investments. The funds managed by CIP focus on investments in large-scale energy infrastructure from power generation (solar, wind), system integration (battery storage, grid), production of green molecules (advanced bioenergy, hydrogen, ammonia) and carbon capture.</w:t>
      </w:r>
    </w:p>
    <w:p w14:paraId="64962112" w14:textId="77777777" w:rsidR="00BF35CE" w:rsidRPr="00BF35CE" w:rsidRDefault="00BF35CE" w:rsidP="00BF35CE">
      <w:pPr>
        <w:ind w:left="0"/>
        <w:rPr>
          <w:rFonts w:eastAsia="Calibri" w:cs="Arial"/>
          <w:sz w:val="18"/>
          <w:szCs w:val="18"/>
        </w:rPr>
      </w:pPr>
    </w:p>
    <w:p w14:paraId="6E7FA3AD" w14:textId="77777777" w:rsidR="00BF35CE" w:rsidRDefault="00BF35CE" w:rsidP="00BF35CE">
      <w:pPr>
        <w:ind w:left="0"/>
        <w:rPr>
          <w:rFonts w:eastAsia="Calibri" w:cs="Arial"/>
          <w:sz w:val="18"/>
          <w:szCs w:val="18"/>
        </w:rPr>
      </w:pPr>
      <w:r w:rsidRPr="00BF35CE">
        <w:rPr>
          <w:rFonts w:eastAsia="Calibri" w:cs="Arial"/>
          <w:sz w:val="18"/>
          <w:szCs w:val="18"/>
        </w:rPr>
        <w:t>CIP manages 13 funds and has to date raised approximately USD$ 37 billion for investments in energy and associated infrastructure from approximately 200 international institutional investors. CIP has projects in more than 30 countries and more than 2300 employees across platforms. For more information, visit </w:t>
      </w:r>
      <w:hyperlink r:id="rId14">
        <w:r w:rsidRPr="00BF35CE">
          <w:rPr>
            <w:rStyle w:val="Hyperlink"/>
            <w:rFonts w:eastAsia="Calibri" w:cs="Arial"/>
            <w:sz w:val="18"/>
            <w:szCs w:val="18"/>
          </w:rPr>
          <w:t>www.cip.com</w:t>
        </w:r>
      </w:hyperlink>
      <w:r w:rsidRPr="00BF35CE">
        <w:rPr>
          <w:rFonts w:eastAsia="Calibri" w:cs="Arial"/>
          <w:sz w:val="18"/>
          <w:szCs w:val="18"/>
        </w:rPr>
        <w:t>.</w:t>
      </w:r>
    </w:p>
    <w:p w14:paraId="2F6B706A" w14:textId="77777777" w:rsidR="00BF35CE" w:rsidRDefault="00BF35CE" w:rsidP="00BF35CE">
      <w:pPr>
        <w:ind w:left="0"/>
        <w:rPr>
          <w:rFonts w:eastAsia="Calibri" w:cs="Arial"/>
          <w:sz w:val="18"/>
          <w:szCs w:val="18"/>
        </w:rPr>
      </w:pPr>
    </w:p>
    <w:p w14:paraId="38C4BFFC" w14:textId="77777777" w:rsidR="00BF35CE" w:rsidRPr="00CC26AA" w:rsidRDefault="00BF35CE" w:rsidP="00BF35CE">
      <w:pPr>
        <w:ind w:left="0"/>
        <w:rPr>
          <w:rFonts w:eastAsia="Calibri" w:cs="Arial"/>
          <w:b/>
          <w:bCs/>
          <w:sz w:val="18"/>
          <w:szCs w:val="18"/>
        </w:rPr>
      </w:pPr>
      <w:r w:rsidRPr="00CC26AA">
        <w:rPr>
          <w:rFonts w:eastAsia="Calibri" w:cs="Arial"/>
          <w:b/>
          <w:bCs/>
          <w:sz w:val="18"/>
          <w:szCs w:val="18"/>
        </w:rPr>
        <w:t>Copenhagen Infrastructure Partners</w:t>
      </w:r>
    </w:p>
    <w:p w14:paraId="6F0605C7" w14:textId="77777777" w:rsidR="00BF35CE" w:rsidRPr="00CC26AA" w:rsidRDefault="00BF35CE" w:rsidP="00BF35CE">
      <w:pPr>
        <w:ind w:left="0"/>
        <w:rPr>
          <w:rFonts w:eastAsia="Calibri" w:cs="Arial"/>
          <w:sz w:val="18"/>
          <w:szCs w:val="18"/>
        </w:rPr>
      </w:pPr>
      <w:hyperlink r:id="rId15" w:history="1">
        <w:r w:rsidRPr="00CC26AA">
          <w:rPr>
            <w:rStyle w:val="Hyperlink"/>
            <w:rFonts w:eastAsia="Calibri" w:cs="Arial"/>
            <w:sz w:val="18"/>
            <w:szCs w:val="18"/>
          </w:rPr>
          <w:t>media@cip.com</w:t>
        </w:r>
      </w:hyperlink>
    </w:p>
    <w:p w14:paraId="55189E53" w14:textId="77777777" w:rsidR="00BF35CE" w:rsidRPr="00CC26AA" w:rsidRDefault="00BF35CE" w:rsidP="00BF35CE">
      <w:pPr>
        <w:ind w:left="0"/>
        <w:rPr>
          <w:rFonts w:eastAsia="Calibri" w:cs="Arial"/>
          <w:sz w:val="18"/>
          <w:szCs w:val="18"/>
        </w:rPr>
      </w:pPr>
    </w:p>
    <w:p w14:paraId="574E36BB" w14:textId="77777777" w:rsidR="00BF35CE" w:rsidRPr="00CC26AA" w:rsidRDefault="00BF35CE" w:rsidP="00BF35CE">
      <w:pPr>
        <w:ind w:left="0"/>
        <w:rPr>
          <w:rFonts w:eastAsia="Calibri" w:cs="Arial"/>
          <w:b/>
          <w:bCs/>
          <w:sz w:val="18"/>
          <w:szCs w:val="18"/>
        </w:rPr>
      </w:pPr>
      <w:r w:rsidRPr="00CC26AA">
        <w:rPr>
          <w:rFonts w:eastAsia="Calibri" w:cs="Arial"/>
          <w:b/>
          <w:bCs/>
          <w:sz w:val="18"/>
          <w:szCs w:val="18"/>
        </w:rPr>
        <w:t xml:space="preserve">About </w:t>
      </w:r>
      <w:proofErr w:type="spellStart"/>
      <w:r w:rsidRPr="00CC26AA">
        <w:rPr>
          <w:rFonts w:eastAsia="Calibri" w:cs="Arial"/>
          <w:b/>
          <w:bCs/>
          <w:sz w:val="18"/>
          <w:szCs w:val="18"/>
        </w:rPr>
        <w:t>DigitalBridge</w:t>
      </w:r>
      <w:proofErr w:type="spellEnd"/>
    </w:p>
    <w:p w14:paraId="6E968989" w14:textId="61DF0539" w:rsidR="00BF35CE" w:rsidRPr="00BF35CE" w:rsidRDefault="00BF35CE" w:rsidP="00BF35CE">
      <w:pPr>
        <w:ind w:left="0"/>
        <w:rPr>
          <w:rFonts w:eastAsia="Calibri" w:cs="Arial"/>
          <w:sz w:val="18"/>
          <w:szCs w:val="18"/>
        </w:rPr>
      </w:pPr>
      <w:proofErr w:type="spellStart"/>
      <w:r w:rsidRPr="00BF35CE">
        <w:rPr>
          <w:rFonts w:eastAsia="Calibri" w:cs="Arial"/>
          <w:sz w:val="18"/>
          <w:szCs w:val="18"/>
        </w:rPr>
        <w:t>DigitalBridge</w:t>
      </w:r>
      <w:proofErr w:type="spellEnd"/>
      <w:r w:rsidRPr="00BF35CE">
        <w:rPr>
          <w:rFonts w:eastAsia="Calibri" w:cs="Arial"/>
          <w:sz w:val="18"/>
          <w:szCs w:val="18"/>
        </w:rPr>
        <w:t xml:space="preserve"> (NYSE: DBRG) is a leading global alternative asset manager dedicated to investing in digital infrastructure. With a heritage of over 25 years investing in and operating businesses across the digital ecosystem, including cell towers, data </w:t>
      </w:r>
      <w:r w:rsidRPr="00BF35CE">
        <w:rPr>
          <w:rFonts w:eastAsia="Calibri" w:cs="Arial"/>
          <w:sz w:val="18"/>
          <w:szCs w:val="18"/>
        </w:rPr>
        <w:lastRenderedPageBreak/>
        <w:t>centers, fiber, small cells, and edge infrastructure, the </w:t>
      </w:r>
      <w:proofErr w:type="spellStart"/>
      <w:r w:rsidRPr="00BF35CE">
        <w:rPr>
          <w:rFonts w:eastAsia="Calibri" w:cs="Arial"/>
          <w:sz w:val="18"/>
          <w:szCs w:val="18"/>
        </w:rPr>
        <w:t>DigitalBridge</w:t>
      </w:r>
      <w:proofErr w:type="spellEnd"/>
      <w:r w:rsidRPr="00BF35CE">
        <w:rPr>
          <w:rFonts w:eastAsia="Calibri" w:cs="Arial"/>
          <w:sz w:val="18"/>
          <w:szCs w:val="18"/>
        </w:rPr>
        <w:t> team manages $106 billion of infrastructure assets on behalf of its limited partners and shareholders. For more information, visit: </w:t>
      </w:r>
      <w:hyperlink r:id="rId16" w:history="1">
        <w:r w:rsidRPr="00BF35CE">
          <w:rPr>
            <w:rStyle w:val="Hyperlink"/>
            <w:rFonts w:eastAsia="Calibri" w:cs="Arial"/>
            <w:sz w:val="18"/>
            <w:szCs w:val="18"/>
          </w:rPr>
          <w:t>www.digitalbridge.com</w:t>
        </w:r>
      </w:hyperlink>
      <w:r w:rsidRPr="00BF35CE">
        <w:rPr>
          <w:rFonts w:eastAsia="Calibri" w:cs="Arial"/>
          <w:sz w:val="18"/>
          <w:szCs w:val="18"/>
        </w:rPr>
        <w:t>.</w:t>
      </w:r>
    </w:p>
    <w:p w14:paraId="71B32402" w14:textId="77777777" w:rsidR="00BF35CE" w:rsidRDefault="00BF35CE" w:rsidP="00BF35CE">
      <w:pPr>
        <w:ind w:left="0"/>
        <w:rPr>
          <w:rFonts w:eastAsia="Calibri" w:cs="Arial"/>
          <w:b/>
          <w:bCs/>
          <w:sz w:val="18"/>
          <w:szCs w:val="18"/>
        </w:rPr>
      </w:pPr>
    </w:p>
    <w:p w14:paraId="385576F4" w14:textId="7133F7B7" w:rsidR="00BF35CE" w:rsidRPr="00BF35CE" w:rsidRDefault="00BF35CE" w:rsidP="00BF35CE">
      <w:pPr>
        <w:ind w:left="0"/>
        <w:rPr>
          <w:rFonts w:eastAsia="Calibri" w:cs="Arial"/>
          <w:b/>
          <w:bCs/>
          <w:sz w:val="18"/>
          <w:szCs w:val="18"/>
        </w:rPr>
      </w:pPr>
      <w:proofErr w:type="spellStart"/>
      <w:r w:rsidRPr="00BF35CE">
        <w:rPr>
          <w:rFonts w:eastAsia="Calibri" w:cs="Arial"/>
          <w:b/>
          <w:bCs/>
          <w:sz w:val="18"/>
          <w:szCs w:val="18"/>
        </w:rPr>
        <w:t>DigitalBridge</w:t>
      </w:r>
      <w:proofErr w:type="spellEnd"/>
    </w:p>
    <w:p w14:paraId="2BD04D58" w14:textId="764526F7" w:rsidR="00BF35CE" w:rsidRDefault="003C6CEF" w:rsidP="00BF35CE">
      <w:pPr>
        <w:ind w:left="0"/>
        <w:rPr>
          <w:rFonts w:eastAsia="Calibri" w:cs="Arial"/>
          <w:sz w:val="18"/>
          <w:szCs w:val="18"/>
        </w:rPr>
      </w:pPr>
      <w:hyperlink r:id="rId17" w:history="1">
        <w:r w:rsidRPr="003C6CEF">
          <w:rPr>
            <w:rStyle w:val="Hyperlink"/>
            <w:rFonts w:eastAsia="Calibri" w:cs="Arial"/>
            <w:sz w:val="18"/>
            <w:szCs w:val="18"/>
          </w:rPr>
          <w:t>media@digitalbridge.com</w:t>
        </w:r>
      </w:hyperlink>
    </w:p>
    <w:p w14:paraId="27EDC033" w14:textId="77777777" w:rsidR="003C6CEF" w:rsidRDefault="003C6CEF" w:rsidP="00BF35CE">
      <w:pPr>
        <w:ind w:left="0"/>
        <w:rPr>
          <w:rFonts w:eastAsia="Calibri" w:cs="Arial"/>
          <w:sz w:val="18"/>
          <w:szCs w:val="18"/>
        </w:rPr>
      </w:pPr>
    </w:p>
    <w:p w14:paraId="7DD99CAC" w14:textId="77777777" w:rsidR="003C6CEF" w:rsidRPr="00BF35CE" w:rsidRDefault="003C6CEF" w:rsidP="00BF35CE">
      <w:pPr>
        <w:ind w:left="0"/>
        <w:rPr>
          <w:rFonts w:eastAsia="Calibri" w:cs="Arial"/>
          <w:b/>
          <w:bCs/>
          <w:sz w:val="18"/>
          <w:szCs w:val="18"/>
        </w:rPr>
      </w:pPr>
    </w:p>
    <w:p w14:paraId="7BA50981" w14:textId="6967AB4B" w:rsidR="00A16E1B" w:rsidRPr="00A16E1B" w:rsidRDefault="00A16E1B" w:rsidP="00A16E1B">
      <w:pPr>
        <w:ind w:left="0"/>
        <w:rPr>
          <w:rFonts w:eastAsia="Calibri" w:cs="Arial"/>
          <w:b/>
          <w:bCs/>
          <w:sz w:val="18"/>
          <w:szCs w:val="18"/>
        </w:rPr>
      </w:pPr>
      <w:r w:rsidRPr="00A16E1B">
        <w:rPr>
          <w:rFonts w:eastAsia="Calibri" w:cs="Arial"/>
          <w:b/>
          <w:bCs/>
          <w:sz w:val="18"/>
          <w:szCs w:val="18"/>
        </w:rPr>
        <w:t>About Franklin Templeton</w:t>
      </w:r>
    </w:p>
    <w:p w14:paraId="6B2D83E8" w14:textId="36DE9B61" w:rsidR="00687E54" w:rsidRDefault="00A16E1B" w:rsidP="00BF35CE">
      <w:pPr>
        <w:ind w:left="0"/>
        <w:rPr>
          <w:rFonts w:eastAsia="Calibri" w:cs="Arial"/>
          <w:sz w:val="18"/>
          <w:szCs w:val="18"/>
        </w:rPr>
      </w:pPr>
      <w:r w:rsidRPr="00A16E1B">
        <w:rPr>
          <w:rFonts w:eastAsia="Calibri" w:cs="Arial"/>
          <w:sz w:val="18"/>
          <w:szCs w:val="18"/>
        </w:rPr>
        <w:t xml:space="preserve">Franklin </w:t>
      </w:r>
      <w:proofErr w:type="gramStart"/>
      <w:r w:rsidRPr="00A16E1B">
        <w:rPr>
          <w:rFonts w:eastAsia="Calibri" w:cs="Arial"/>
          <w:sz w:val="18"/>
          <w:szCs w:val="18"/>
        </w:rPr>
        <w:t>Resources,</w:t>
      </w:r>
      <w:proofErr w:type="gramEnd"/>
      <w:r w:rsidRPr="00A16E1B">
        <w:rPr>
          <w:rFonts w:eastAsia="Calibri" w:cs="Arial"/>
          <w:sz w:val="18"/>
          <w:szCs w:val="18"/>
        </w:rPr>
        <w:t xml:space="preserve"> Inc. (NYSE: BEN) is a global investment management organization with subsidiaries operating </w:t>
      </w:r>
      <w:proofErr w:type="gramStart"/>
      <w:r w:rsidRPr="00A16E1B">
        <w:rPr>
          <w:rFonts w:eastAsia="Calibri" w:cs="Arial"/>
          <w:sz w:val="18"/>
          <w:szCs w:val="18"/>
        </w:rPr>
        <w:t>as</w:t>
      </w:r>
      <w:proofErr w:type="gramEnd"/>
      <w:r w:rsidRPr="00A16E1B">
        <w:rPr>
          <w:rFonts w:eastAsia="Calibri" w:cs="Arial"/>
          <w:sz w:val="18"/>
          <w:szCs w:val="18"/>
        </w:rPr>
        <w:t xml:space="preserve"> Franklin Templeton and serving clients in over 150 countries. Franklin Templeton’s mission is to help clients achieve better outcomes through investment management expertise, wealth management and technology solutions. Through its specialist investment managers, the Company offers specialization on a global scale, bringing extensive capabilities in equity, fixed income, alternatives and multi-asset solutions. With more than 1,500 investment professionals, and offices in major financial markets around the world, the California-based company has over 75 years of investment experience and $1.6</w:t>
      </w:r>
      <w:r w:rsidR="00A80C51">
        <w:rPr>
          <w:rFonts w:eastAsia="Calibri" w:cs="Arial"/>
          <w:sz w:val="18"/>
          <w:szCs w:val="18"/>
        </w:rPr>
        <w:t>4</w:t>
      </w:r>
      <w:r w:rsidRPr="00A16E1B">
        <w:rPr>
          <w:rFonts w:eastAsia="Calibri" w:cs="Arial"/>
          <w:sz w:val="18"/>
          <w:szCs w:val="18"/>
        </w:rPr>
        <w:t xml:space="preserve"> trillion in </w:t>
      </w:r>
      <w:r w:rsidR="00DF4718">
        <w:rPr>
          <w:rFonts w:eastAsia="Calibri" w:cs="Arial"/>
          <w:sz w:val="18"/>
          <w:szCs w:val="18"/>
        </w:rPr>
        <w:t>assets under management</w:t>
      </w:r>
      <w:r w:rsidRPr="00A16E1B">
        <w:rPr>
          <w:rFonts w:eastAsia="Calibri" w:cs="Arial"/>
          <w:sz w:val="18"/>
          <w:szCs w:val="18"/>
        </w:rPr>
        <w:t xml:space="preserve"> as of </w:t>
      </w:r>
      <w:r w:rsidR="00A80C51">
        <w:rPr>
          <w:rFonts w:eastAsia="Calibri" w:cs="Arial"/>
          <w:sz w:val="18"/>
          <w:szCs w:val="18"/>
        </w:rPr>
        <w:t>August</w:t>
      </w:r>
      <w:r w:rsidRPr="00A16E1B">
        <w:rPr>
          <w:rFonts w:eastAsia="Calibri" w:cs="Arial"/>
          <w:sz w:val="18"/>
          <w:szCs w:val="18"/>
        </w:rPr>
        <w:t xml:space="preserve"> 31, 2025. The Company posts information that may be significant for investors in the Investor Relations and News Center sections of its </w:t>
      </w:r>
      <w:proofErr w:type="gramStart"/>
      <w:r w:rsidRPr="00A16E1B">
        <w:rPr>
          <w:rFonts w:eastAsia="Calibri" w:cs="Arial"/>
          <w:sz w:val="18"/>
          <w:szCs w:val="18"/>
        </w:rPr>
        <w:t>website, and</w:t>
      </w:r>
      <w:proofErr w:type="gramEnd"/>
      <w:r w:rsidRPr="00A16E1B">
        <w:rPr>
          <w:rFonts w:eastAsia="Calibri" w:cs="Arial"/>
          <w:sz w:val="18"/>
          <w:szCs w:val="18"/>
        </w:rPr>
        <w:t xml:space="preserve"> encourages investors to consult those sections regularly. For more information, please visit investors.franklinresources.com.</w:t>
      </w:r>
    </w:p>
    <w:p w14:paraId="5A12E146" w14:textId="77777777" w:rsidR="000C6055" w:rsidRDefault="000C6055" w:rsidP="00BF35CE">
      <w:pPr>
        <w:ind w:left="0"/>
        <w:rPr>
          <w:rFonts w:eastAsia="Calibri" w:cs="Arial"/>
          <w:sz w:val="18"/>
          <w:szCs w:val="18"/>
        </w:rPr>
      </w:pPr>
    </w:p>
    <w:p w14:paraId="67D66EF7" w14:textId="77777777" w:rsidR="000C6055" w:rsidRPr="000C6055" w:rsidRDefault="000C6055" w:rsidP="000C6055">
      <w:pPr>
        <w:ind w:left="0"/>
        <w:rPr>
          <w:rFonts w:eastAsia="Calibri" w:cs="Arial"/>
          <w:sz w:val="18"/>
          <w:szCs w:val="18"/>
        </w:rPr>
      </w:pPr>
      <w:r w:rsidRPr="000C6055">
        <w:rPr>
          <w:rFonts w:eastAsia="Calibri" w:cs="Arial"/>
          <w:b/>
          <w:bCs/>
          <w:sz w:val="18"/>
          <w:szCs w:val="18"/>
        </w:rPr>
        <w:t>Institutional-quality:</w:t>
      </w:r>
      <w:r w:rsidRPr="000C6055">
        <w:rPr>
          <w:rFonts w:eastAsia="Calibri" w:cs="Arial"/>
          <w:sz w:val="18"/>
          <w:szCs w:val="18"/>
        </w:rPr>
        <w:t xml:space="preserve"> An institutional-grade, or institutional-quality investment generally refers to an investment of sufficient size and stature to merit attention from large national or international investors.</w:t>
      </w:r>
    </w:p>
    <w:p w14:paraId="286BF19E" w14:textId="77777777" w:rsidR="000C6055" w:rsidRPr="000C6055" w:rsidRDefault="000C6055" w:rsidP="000C6055">
      <w:pPr>
        <w:ind w:left="0"/>
        <w:rPr>
          <w:rFonts w:eastAsia="Calibri" w:cs="Arial"/>
          <w:sz w:val="18"/>
          <w:szCs w:val="18"/>
        </w:rPr>
      </w:pPr>
    </w:p>
    <w:p w14:paraId="50211151" w14:textId="77777777" w:rsidR="000C6055" w:rsidRPr="000C6055" w:rsidRDefault="000C6055" w:rsidP="000C6055">
      <w:pPr>
        <w:ind w:left="0"/>
        <w:rPr>
          <w:rFonts w:eastAsia="Calibri" w:cs="Arial"/>
          <w:sz w:val="18"/>
          <w:szCs w:val="18"/>
        </w:rPr>
      </w:pPr>
      <w:r w:rsidRPr="000C6055">
        <w:rPr>
          <w:rFonts w:eastAsia="Calibri" w:cs="Arial"/>
          <w:b/>
          <w:bCs/>
          <w:sz w:val="18"/>
          <w:szCs w:val="18"/>
        </w:rPr>
        <w:t>A word about risk:</w:t>
      </w:r>
      <w:r w:rsidRPr="000C6055">
        <w:rPr>
          <w:rFonts w:eastAsia="Calibri" w:cs="Arial"/>
          <w:sz w:val="18"/>
          <w:szCs w:val="18"/>
        </w:rPr>
        <w:t xml:space="preserve"> An investment in infrastructure projects can be exposed to numerous risks that may not offer recourse to the project sponsor and ultimately investors.  For example, delays in obtaining necessary permits or a shift in political or public sentiment could hinder progress or cause a project to terminate. Other risks that can impact an infrastructure investment include, but are not limited </w:t>
      </w:r>
      <w:proofErr w:type="gramStart"/>
      <w:r w:rsidRPr="000C6055">
        <w:rPr>
          <w:rFonts w:eastAsia="Calibri" w:cs="Arial"/>
          <w:sz w:val="18"/>
          <w:szCs w:val="18"/>
        </w:rPr>
        <w:t>to:</w:t>
      </w:r>
      <w:proofErr w:type="gramEnd"/>
      <w:r w:rsidRPr="000C6055">
        <w:rPr>
          <w:rFonts w:eastAsia="Calibri" w:cs="Arial"/>
          <w:sz w:val="18"/>
          <w:szCs w:val="18"/>
        </w:rPr>
        <w:t xml:space="preserve"> construction delays, environmental concerns, contract or labor disputes, or financial/default risks from a deterioration in a sponsor’s credit. Additionally, the </w:t>
      </w:r>
      <w:r w:rsidRPr="000C6055">
        <w:rPr>
          <w:rFonts w:eastAsia="Calibri" w:cs="Arial"/>
          <w:b/>
          <w:bCs/>
          <w:sz w:val="18"/>
          <w:szCs w:val="18"/>
        </w:rPr>
        <w:t>securities tied to such projects may be</w:t>
      </w:r>
      <w:r w:rsidRPr="000C6055">
        <w:rPr>
          <w:rFonts w:eastAsia="Calibri" w:cs="Arial"/>
          <w:sz w:val="18"/>
          <w:szCs w:val="18"/>
        </w:rPr>
        <w:t xml:space="preserve"> </w:t>
      </w:r>
      <w:r w:rsidRPr="000C6055">
        <w:rPr>
          <w:rFonts w:eastAsia="Calibri" w:cs="Arial"/>
          <w:b/>
          <w:bCs/>
          <w:sz w:val="18"/>
          <w:szCs w:val="18"/>
        </w:rPr>
        <w:t>private</w:t>
      </w:r>
      <w:r w:rsidRPr="000C6055">
        <w:rPr>
          <w:rFonts w:eastAsia="Calibri" w:cs="Arial"/>
          <w:sz w:val="18"/>
          <w:szCs w:val="18"/>
        </w:rPr>
        <w:t xml:space="preserve"> in nature which increases the illiquid nature of such investment and </w:t>
      </w:r>
      <w:proofErr w:type="gramStart"/>
      <w:r w:rsidRPr="000C6055">
        <w:rPr>
          <w:rFonts w:eastAsia="Calibri" w:cs="Arial"/>
          <w:sz w:val="18"/>
          <w:szCs w:val="18"/>
        </w:rPr>
        <w:t>reduce</w:t>
      </w:r>
      <w:proofErr w:type="gramEnd"/>
      <w:r w:rsidRPr="000C6055">
        <w:rPr>
          <w:rFonts w:eastAsia="Calibri" w:cs="Arial"/>
          <w:sz w:val="18"/>
          <w:szCs w:val="18"/>
        </w:rPr>
        <w:t xml:space="preserve"> visibility into information about the investment. Private securities would not be listed on a public exchange, and no secondary market would be expected to develop.</w:t>
      </w:r>
    </w:p>
    <w:p w14:paraId="75BB3B13" w14:textId="77777777" w:rsidR="000C6055" w:rsidRPr="00BF35CE" w:rsidRDefault="000C6055" w:rsidP="00BF35CE">
      <w:pPr>
        <w:ind w:left="0"/>
        <w:rPr>
          <w:rFonts w:eastAsia="Calibri" w:cs="Arial"/>
          <w:sz w:val="18"/>
          <w:szCs w:val="18"/>
        </w:rPr>
      </w:pPr>
    </w:p>
    <w:sectPr w:rsidR="000C6055" w:rsidRPr="00BF35CE" w:rsidSect="00617305">
      <w:headerReference w:type="even" r:id="rId18"/>
      <w:headerReference w:type="default" r:id="rId19"/>
      <w:footerReference w:type="even" r:id="rId20"/>
      <w:footerReference w:type="default" r:id="rId21"/>
      <w:headerReference w:type="first" r:id="rId22"/>
      <w:footerReference w:type="first" r:id="rId23"/>
      <w:pgSz w:w="12240" w:h="15840" w:code="1"/>
      <w:pgMar w:top="2912" w:right="1440" w:bottom="259" w:left="1440" w:header="72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D4A3" w14:textId="77777777" w:rsidR="000E4A9A" w:rsidRDefault="000E4A9A">
      <w:r>
        <w:separator/>
      </w:r>
    </w:p>
  </w:endnote>
  <w:endnote w:type="continuationSeparator" w:id="0">
    <w:p w14:paraId="2A2399EE" w14:textId="77777777" w:rsidR="000E4A9A" w:rsidRDefault="000E4A9A">
      <w:r>
        <w:continuationSeparator/>
      </w:r>
    </w:p>
  </w:endnote>
  <w:endnote w:type="continuationNotice" w:id="1">
    <w:p w14:paraId="3155B1E2" w14:textId="77777777" w:rsidR="000E4A9A" w:rsidRDefault="000E4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738A" w14:textId="77777777" w:rsidR="00555A84" w:rsidRDefault="00555A84">
    <w:pPr>
      <w:framePr w:wrap="around" w:vAnchor="text" w:hAnchor="margin" w:xAlign="center" w:y="1"/>
    </w:pPr>
    <w:r>
      <w:fldChar w:fldCharType="begin"/>
    </w:r>
    <w:r>
      <w:instrText xml:space="preserve">PAGE  </w:instrText>
    </w:r>
    <w:r>
      <w:fldChar w:fldCharType="separate"/>
    </w:r>
    <w:r>
      <w:t>0</w:t>
    </w:r>
    <w:r>
      <w:fldChar w:fldCharType="end"/>
    </w:r>
  </w:p>
  <w:p w14:paraId="3C116AB2" w14:textId="77777777" w:rsidR="00555A84" w:rsidRDefault="00555A84"/>
  <w:p w14:paraId="0337085B" w14:textId="77777777" w:rsidR="00555A84" w:rsidRDefault="00555A84"/>
  <w:p w14:paraId="71484ECB" w14:textId="77777777" w:rsidR="00555A84" w:rsidRDefault="00555A84"/>
  <w:p w14:paraId="7E03A360" w14:textId="77777777" w:rsidR="00555A84" w:rsidRDefault="00555A84"/>
  <w:p w14:paraId="6C9FA4B7" w14:textId="77777777" w:rsidR="00555A84" w:rsidRDefault="00555A84"/>
  <w:p w14:paraId="437EF0A6" w14:textId="77777777" w:rsidR="00555A84" w:rsidRDefault="00555A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A48B" w14:textId="77777777" w:rsidR="00555A84" w:rsidRDefault="00555A84" w:rsidP="003039CF">
    <w:pPr>
      <w:ind w:left="0"/>
    </w:pPr>
  </w:p>
  <w:p w14:paraId="50E95584" w14:textId="77777777" w:rsidR="00555A84" w:rsidRDefault="00555A84"/>
  <w:p w14:paraId="22828DCF" w14:textId="77777777" w:rsidR="00555A84" w:rsidRDefault="00555A84"/>
  <w:p w14:paraId="05870469" w14:textId="77777777" w:rsidR="00555A84" w:rsidRDefault="00555A84"/>
  <w:p w14:paraId="27C0EB31" w14:textId="77777777" w:rsidR="00555A84" w:rsidRDefault="00555A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14C6" w14:textId="7CCFF7C2" w:rsidR="00555A84" w:rsidRPr="006F4A36" w:rsidRDefault="005817BF" w:rsidP="003039CF">
    <w:pPr>
      <w:pStyle w:val="06Disclosure"/>
      <w:tabs>
        <w:tab w:val="clear" w:pos="4320"/>
        <w:tab w:val="clear" w:pos="8640"/>
      </w:tabs>
      <w:ind w:right="0"/>
      <w:rPr>
        <w:spacing w:val="0"/>
      </w:rPr>
    </w:pPr>
    <w:r>
      <w:rPr>
        <w:noProof/>
      </w:rPr>
      <mc:AlternateContent>
        <mc:Choice Requires="wps">
          <w:drawing>
            <wp:anchor distT="0" distB="0" distL="114300" distR="114300" simplePos="0" relativeHeight="251657728" behindDoc="0" locked="0" layoutInCell="1" allowOverlap="1" wp14:anchorId="46E2841A" wp14:editId="623C1011">
              <wp:simplePos x="0" y="0"/>
              <wp:positionH relativeFrom="column">
                <wp:posOffset>0</wp:posOffset>
              </wp:positionH>
              <wp:positionV relativeFrom="paragraph">
                <wp:posOffset>132827</wp:posOffset>
              </wp:positionV>
              <wp:extent cx="5943600" cy="0"/>
              <wp:effectExtent l="0" t="0" r="12700" b="12700"/>
              <wp:wrapTight wrapText="bothSides">
                <wp:wrapPolygon edited="0">
                  <wp:start x="0" y="-1"/>
                  <wp:lineTo x="0" y="-1"/>
                  <wp:lineTo x="21600" y="-1"/>
                  <wp:lineTo x="21600" y="-1"/>
                  <wp:lineTo x="0" y="-1"/>
                </wp:wrapPolygon>
              </wp:wrapTight>
              <wp:docPr id="1099965191" name="Straight Connector 1099965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98DEF6A">
            <v:line id="Straight Connector 109996519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strokeweight=".25pt" from="0,10.45pt" to="468pt,10.45pt" w14:anchorId="5F375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">
              <v:shadow opacity="22938f" offset="0"/>
              <w10:wrap type="tigh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AD21" w14:textId="77777777" w:rsidR="000E4A9A" w:rsidRDefault="000E4A9A">
      <w:r>
        <w:separator/>
      </w:r>
    </w:p>
  </w:footnote>
  <w:footnote w:type="continuationSeparator" w:id="0">
    <w:p w14:paraId="11E5AF59" w14:textId="77777777" w:rsidR="000E4A9A" w:rsidRDefault="000E4A9A">
      <w:r>
        <w:continuationSeparator/>
      </w:r>
    </w:p>
  </w:footnote>
  <w:footnote w:type="continuationNotice" w:id="1">
    <w:p w14:paraId="00ABCC72" w14:textId="77777777" w:rsidR="000E4A9A" w:rsidRDefault="000E4A9A"/>
  </w:footnote>
  <w:footnote w:id="2">
    <w:p w14:paraId="6CD0E95D" w14:textId="70283B05" w:rsidR="00BF35CE" w:rsidRPr="00FB4ABF" w:rsidRDefault="00BF35CE" w:rsidP="00BF35CE">
      <w:pPr>
        <w:pStyle w:val="FootnoteText"/>
        <w:rPr>
          <w:rFonts w:ascii="Arial" w:hAnsi="Arial" w:cs="Arial"/>
        </w:rPr>
      </w:pPr>
      <w:r>
        <w:rPr>
          <w:rStyle w:val="FootnoteReference"/>
        </w:rPr>
        <w:footnoteRef/>
      </w:r>
      <w:r>
        <w:t xml:space="preserve"> </w:t>
      </w:r>
      <w:hyperlink r:id="rId1" w:history="1">
        <w:r w:rsidRPr="003C2130">
          <w:rPr>
            <w:rStyle w:val="Hyperlink"/>
            <w:rFonts w:ascii="Arial" w:hAnsi="Arial" w:cs="Arial"/>
          </w:rPr>
          <w:t>Global Infrastructure Outlook</w:t>
        </w:r>
      </w:hyperlink>
      <w:r w:rsidRPr="000D78DA">
        <w:rPr>
          <w:rFonts w:ascii="Arial" w:hAnsi="Arial" w:cs="Arial"/>
        </w:rPr>
        <w:t xml:space="preserve">, </w:t>
      </w:r>
      <w:r w:rsidR="003C2130">
        <w:rPr>
          <w:rFonts w:ascii="Arial" w:hAnsi="Arial" w:cs="Arial"/>
        </w:rPr>
        <w:t xml:space="preserve">a </w:t>
      </w:r>
      <w:r w:rsidR="00E64D16" w:rsidRPr="00E64D16">
        <w:rPr>
          <w:rFonts w:ascii="Arial" w:hAnsi="Arial" w:cs="Arial"/>
        </w:rPr>
        <w:t xml:space="preserve">G20 </w:t>
      </w:r>
      <w:r w:rsidR="00E64D16">
        <w:rPr>
          <w:rFonts w:ascii="Arial" w:hAnsi="Arial" w:cs="Arial"/>
        </w:rPr>
        <w:t xml:space="preserve">Initiative, </w:t>
      </w:r>
      <w:r w:rsidRPr="000D78DA">
        <w:rPr>
          <w:rFonts w:ascii="Arial" w:hAnsi="Arial" w:cs="Arial"/>
        </w:rPr>
        <w:t xml:space="preserve">2018 </w:t>
      </w:r>
    </w:p>
  </w:footnote>
  <w:footnote w:id="3">
    <w:p w14:paraId="40800DEA" w14:textId="21C88467" w:rsidR="009941B9" w:rsidRDefault="009941B9" w:rsidP="009941B9">
      <w:pPr>
        <w:pStyle w:val="FootnoteText"/>
      </w:pPr>
      <w:r w:rsidRPr="198C521E">
        <w:rPr>
          <w:rStyle w:val="FootnoteReference"/>
          <w:rFonts w:ascii="Arial" w:hAnsi="Arial" w:cs="Arial"/>
        </w:rPr>
        <w:footnoteRef/>
      </w:r>
      <w:r w:rsidRPr="198C521E">
        <w:rPr>
          <w:rFonts w:ascii="Arial" w:hAnsi="Arial" w:cs="Arial"/>
        </w:rPr>
        <w:t xml:space="preserve"> As of June 30, 2025</w:t>
      </w:r>
      <w:r w:rsidR="008C1276" w:rsidRPr="008C1276">
        <w:rPr>
          <w:rFonts w:ascii="Arial" w:hAnsi="Arial" w:cs="Arial"/>
        </w:rPr>
        <w:t>. Based on EUR/USD exchange rate of EUR 1 = USD 1,17</w:t>
      </w:r>
    </w:p>
  </w:footnote>
  <w:footnote w:id="4">
    <w:p w14:paraId="51BBA1AF" w14:textId="77777777" w:rsidR="00504A82" w:rsidRDefault="00504A82" w:rsidP="00504A82">
      <w:pPr>
        <w:pStyle w:val="FootnoteText"/>
      </w:pPr>
      <w:r w:rsidRPr="000D78DA">
        <w:rPr>
          <w:rStyle w:val="FootnoteReference"/>
          <w:rFonts w:ascii="Arial" w:hAnsi="Arial" w:cs="Arial"/>
        </w:rPr>
        <w:footnoteRef/>
      </w:r>
      <w:r w:rsidRPr="000D78DA">
        <w:rPr>
          <w:rFonts w:ascii="Arial" w:hAnsi="Arial" w:cs="Arial"/>
        </w:rPr>
        <w:t xml:space="preserve"> As of June 30,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6F1A" w14:textId="77777777" w:rsidR="00044858" w:rsidRDefault="00044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D9D3" w14:textId="77777777" w:rsidR="00555A84" w:rsidRDefault="00555A84" w:rsidP="003039CF">
    <w:pP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6EAB" w14:textId="665AAA68" w:rsidR="00555A84" w:rsidRDefault="00751731" w:rsidP="00B514B9">
    <w:pPr>
      <w:pStyle w:val="Header"/>
      <w:ind w:left="-378"/>
    </w:pPr>
    <w:r>
      <w:rPr>
        <w:noProof/>
      </w:rPr>
      <w:pict w14:anchorId="4B8D1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9902950" o:spid="_x0000_s1025" type="#_x0000_t75" alt="A black and grey background&#10;&#10;&#10;&#10;&#10;&#10;&#10;&#10;&#10;&#10;&#10;&#10;&#10;&#10;&#10;&#10;&#10;&#10;&#10;&#10;&#10;&#10;AI-generated content may be incorrect." style="position:absolute;left:0;text-align:left;margin-left:0;margin-top:0;width:990.7pt;height:719.25pt;z-index:-251656704;mso-wrap-edited:f;mso-position-horizontal:center;mso-position-horizontal-relative:margin;mso-position-vertical:center;mso-position-vertical-relative:margin" o:allowincell="f">
          <v:imagedata r:id="rId1" o:title="bg"/>
          <w10:wrap anchorx="margin" anchory="margin"/>
        </v:shape>
      </w:pict>
    </w:r>
    <w:r w:rsidR="00AF615B">
      <w:rPr>
        <w:noProof/>
      </w:rPr>
      <w:drawing>
        <wp:anchor distT="0" distB="0" distL="114300" distR="114300" simplePos="0" relativeHeight="251658752" behindDoc="1" locked="0" layoutInCell="0" allowOverlap="1" wp14:anchorId="0915BE4C" wp14:editId="37988417">
          <wp:simplePos x="0" y="0"/>
          <wp:positionH relativeFrom="margin">
            <wp:posOffset>-928370</wp:posOffset>
          </wp:positionH>
          <wp:positionV relativeFrom="margin">
            <wp:posOffset>-1991995</wp:posOffset>
          </wp:positionV>
          <wp:extent cx="7799070" cy="2011045"/>
          <wp:effectExtent l="0" t="0" r="0" b="0"/>
          <wp:wrapNone/>
          <wp:docPr id="1658084418" name="WordPictureWatermark14436437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ordPictureWatermark1443643730"/>
                  <pic:cNvPicPr>
                    <a:picLocks/>
                  </pic:cNvPicPr>
                </pic:nvPicPr>
                <pic:blipFill rotWithShape="1">
                  <a:blip r:embed="rId2"/>
                  <a:srcRect l="1583" t="-5448" r="2107" b="36131"/>
                  <a:stretch/>
                </pic:blipFill>
                <pic:spPr bwMode="auto">
                  <a:xfrm>
                    <a:off x="0" y="0"/>
                    <a:ext cx="7799070" cy="2011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316E">
      <w:rPr>
        <w:noProof/>
      </w:rPr>
      <w:drawing>
        <wp:anchor distT="0" distB="0" distL="114300" distR="114300" simplePos="0" relativeHeight="251656704" behindDoc="0" locked="0" layoutInCell="1" allowOverlap="1" wp14:anchorId="2CA7AAC6" wp14:editId="26402B4E">
          <wp:simplePos x="0" y="0"/>
          <wp:positionH relativeFrom="page">
            <wp:posOffset>4791075</wp:posOffset>
          </wp:positionH>
          <wp:positionV relativeFrom="page">
            <wp:posOffset>433589</wp:posOffset>
          </wp:positionV>
          <wp:extent cx="2185416" cy="804672"/>
          <wp:effectExtent l="0" t="0" r="0" b="0"/>
          <wp:wrapNone/>
          <wp:docPr id="1169911112" name="Picture 116991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bwMode="auto">
                  <a:xfrm>
                    <a:off x="0" y="0"/>
                    <a:ext cx="2185416" cy="8046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52CE">
      <w:rPr>
        <w:noProof/>
      </w:rPr>
      <mc:AlternateContent>
        <mc:Choice Requires="wps">
          <w:drawing>
            <wp:anchor distT="0" distB="0" distL="114300" distR="114300" simplePos="0" relativeHeight="251655680" behindDoc="0" locked="0" layoutInCell="1" allowOverlap="1" wp14:anchorId="5BFF9496" wp14:editId="00D0229D">
              <wp:simplePos x="0" y="0"/>
              <wp:positionH relativeFrom="column">
                <wp:posOffset>0</wp:posOffset>
              </wp:positionH>
              <wp:positionV relativeFrom="paragraph">
                <wp:posOffset>3286630</wp:posOffset>
              </wp:positionV>
              <wp:extent cx="5943600" cy="0"/>
              <wp:effectExtent l="0" t="0" r="12700" b="12700"/>
              <wp:wrapTight wrapText="bothSides">
                <wp:wrapPolygon edited="0">
                  <wp:start x="0" y="-1"/>
                  <wp:lineTo x="0" y="-1"/>
                  <wp:lineTo x="21600" y="-1"/>
                  <wp:lineTo x="21600" y="-1"/>
                  <wp:lineTo x="0" y="-1"/>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337EB8A">
            <v:line id="Straight Connector 1"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strokeweight=".25pt" from="0,258.8pt" to="468pt,258.8pt" w14:anchorId="2D707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">
              <v:shadow opacity="22938f" offset="0"/>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126A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A6C8F8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D68AA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0C02FB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ADA5D8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B1C1D5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F56B1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1F0CAB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8B40C3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E121C1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8F4C3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25259A"/>
    <w:multiLevelType w:val="multilevel"/>
    <w:tmpl w:val="864E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4727022">
    <w:abstractNumId w:val="10"/>
  </w:num>
  <w:num w:numId="2" w16cid:durableId="1361319815">
    <w:abstractNumId w:val="10"/>
  </w:num>
  <w:num w:numId="3" w16cid:durableId="1816992695">
    <w:abstractNumId w:val="10"/>
  </w:num>
  <w:num w:numId="4" w16cid:durableId="1196384203">
    <w:abstractNumId w:val="9"/>
  </w:num>
  <w:num w:numId="5" w16cid:durableId="1061754368">
    <w:abstractNumId w:val="9"/>
  </w:num>
  <w:num w:numId="6" w16cid:durableId="1203785779">
    <w:abstractNumId w:val="9"/>
    <w:lvlOverride w:ilvl="0">
      <w:startOverride w:val="1"/>
    </w:lvlOverride>
  </w:num>
  <w:num w:numId="7" w16cid:durableId="1864977232">
    <w:abstractNumId w:val="8"/>
  </w:num>
  <w:num w:numId="8" w16cid:durableId="119686929">
    <w:abstractNumId w:val="8"/>
  </w:num>
  <w:num w:numId="9" w16cid:durableId="1511020564">
    <w:abstractNumId w:val="8"/>
  </w:num>
  <w:num w:numId="10" w16cid:durableId="1073117434">
    <w:abstractNumId w:val="7"/>
  </w:num>
  <w:num w:numId="11" w16cid:durableId="1385175889">
    <w:abstractNumId w:val="7"/>
  </w:num>
  <w:num w:numId="12" w16cid:durableId="2110656170">
    <w:abstractNumId w:val="7"/>
  </w:num>
  <w:num w:numId="13" w16cid:durableId="424498109">
    <w:abstractNumId w:val="6"/>
  </w:num>
  <w:num w:numId="14" w16cid:durableId="1215123916">
    <w:abstractNumId w:val="6"/>
  </w:num>
  <w:num w:numId="15" w16cid:durableId="1651514521">
    <w:abstractNumId w:val="6"/>
  </w:num>
  <w:num w:numId="16" w16cid:durableId="723719715">
    <w:abstractNumId w:val="5"/>
  </w:num>
  <w:num w:numId="17" w16cid:durableId="2071540245">
    <w:abstractNumId w:val="5"/>
  </w:num>
  <w:num w:numId="18" w16cid:durableId="1021855166">
    <w:abstractNumId w:val="5"/>
  </w:num>
  <w:num w:numId="19" w16cid:durableId="2125733994">
    <w:abstractNumId w:val="4"/>
  </w:num>
  <w:num w:numId="20" w16cid:durableId="1982878640">
    <w:abstractNumId w:val="4"/>
  </w:num>
  <w:num w:numId="21" w16cid:durableId="628323688">
    <w:abstractNumId w:val="4"/>
    <w:lvlOverride w:ilvl="0">
      <w:startOverride w:val="1"/>
    </w:lvlOverride>
  </w:num>
  <w:num w:numId="22" w16cid:durableId="1692292660">
    <w:abstractNumId w:val="3"/>
  </w:num>
  <w:num w:numId="23" w16cid:durableId="9989017">
    <w:abstractNumId w:val="3"/>
  </w:num>
  <w:num w:numId="24" w16cid:durableId="1594313511">
    <w:abstractNumId w:val="3"/>
    <w:lvlOverride w:ilvl="0">
      <w:startOverride w:val="1"/>
    </w:lvlOverride>
  </w:num>
  <w:num w:numId="25" w16cid:durableId="562642350">
    <w:abstractNumId w:val="2"/>
  </w:num>
  <w:num w:numId="26" w16cid:durableId="1647005750">
    <w:abstractNumId w:val="2"/>
  </w:num>
  <w:num w:numId="27" w16cid:durableId="1834489420">
    <w:abstractNumId w:val="2"/>
    <w:lvlOverride w:ilvl="0">
      <w:startOverride w:val="1"/>
    </w:lvlOverride>
  </w:num>
  <w:num w:numId="28" w16cid:durableId="1779791999">
    <w:abstractNumId w:val="1"/>
  </w:num>
  <w:num w:numId="29" w16cid:durableId="588583533">
    <w:abstractNumId w:val="1"/>
  </w:num>
  <w:num w:numId="30" w16cid:durableId="1867866275">
    <w:abstractNumId w:val="1"/>
    <w:lvlOverride w:ilvl="0">
      <w:startOverride w:val="1"/>
    </w:lvlOverride>
  </w:num>
  <w:num w:numId="31" w16cid:durableId="750352746">
    <w:abstractNumId w:val="0"/>
  </w:num>
  <w:num w:numId="32" w16cid:durableId="291790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95"/>
  <w:drawingGridVerticalSpacing w:val="187"/>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7B"/>
    <w:rsid w:val="00000CF8"/>
    <w:rsid w:val="0001682F"/>
    <w:rsid w:val="00030F63"/>
    <w:rsid w:val="00044063"/>
    <w:rsid w:val="00044858"/>
    <w:rsid w:val="00050C13"/>
    <w:rsid w:val="00055E83"/>
    <w:rsid w:val="00061E77"/>
    <w:rsid w:val="00075E08"/>
    <w:rsid w:val="000A0022"/>
    <w:rsid w:val="000A4D3A"/>
    <w:rsid w:val="000B639B"/>
    <w:rsid w:val="000C6055"/>
    <w:rsid w:val="000C792A"/>
    <w:rsid w:val="000E4A9A"/>
    <w:rsid w:val="000E6596"/>
    <w:rsid w:val="000E7FD6"/>
    <w:rsid w:val="001302B0"/>
    <w:rsid w:val="001864EA"/>
    <w:rsid w:val="001971E4"/>
    <w:rsid w:val="001A53CC"/>
    <w:rsid w:val="001C5DDD"/>
    <w:rsid w:val="001D1767"/>
    <w:rsid w:val="001F115A"/>
    <w:rsid w:val="002126D5"/>
    <w:rsid w:val="0021425A"/>
    <w:rsid w:val="00226504"/>
    <w:rsid w:val="00233A68"/>
    <w:rsid w:val="002430D2"/>
    <w:rsid w:val="00243AE9"/>
    <w:rsid w:val="00245B63"/>
    <w:rsid w:val="00247040"/>
    <w:rsid w:val="00270D97"/>
    <w:rsid w:val="0029415C"/>
    <w:rsid w:val="00294B12"/>
    <w:rsid w:val="00295675"/>
    <w:rsid w:val="00297C02"/>
    <w:rsid w:val="002B316E"/>
    <w:rsid w:val="002D1EF7"/>
    <w:rsid w:val="002E2D4D"/>
    <w:rsid w:val="002F2DE3"/>
    <w:rsid w:val="003039CF"/>
    <w:rsid w:val="00340EEC"/>
    <w:rsid w:val="00356705"/>
    <w:rsid w:val="00356F3D"/>
    <w:rsid w:val="0037566E"/>
    <w:rsid w:val="003959C0"/>
    <w:rsid w:val="003C2130"/>
    <w:rsid w:val="003C6CEF"/>
    <w:rsid w:val="003D0EC3"/>
    <w:rsid w:val="003D63E4"/>
    <w:rsid w:val="003D6CAB"/>
    <w:rsid w:val="003E3093"/>
    <w:rsid w:val="003E797A"/>
    <w:rsid w:val="00401923"/>
    <w:rsid w:val="00433063"/>
    <w:rsid w:val="004359B2"/>
    <w:rsid w:val="00450613"/>
    <w:rsid w:val="004513FD"/>
    <w:rsid w:val="004C3407"/>
    <w:rsid w:val="004D2A01"/>
    <w:rsid w:val="004D35EC"/>
    <w:rsid w:val="004D7396"/>
    <w:rsid w:val="004E6D32"/>
    <w:rsid w:val="004F3A8B"/>
    <w:rsid w:val="00500AD0"/>
    <w:rsid w:val="005048B2"/>
    <w:rsid w:val="00504A82"/>
    <w:rsid w:val="005149F5"/>
    <w:rsid w:val="00516D11"/>
    <w:rsid w:val="00526C04"/>
    <w:rsid w:val="00547190"/>
    <w:rsid w:val="00555A84"/>
    <w:rsid w:val="00560282"/>
    <w:rsid w:val="00563B6B"/>
    <w:rsid w:val="00565401"/>
    <w:rsid w:val="0058100F"/>
    <w:rsid w:val="005817BF"/>
    <w:rsid w:val="00585649"/>
    <w:rsid w:val="00585EC3"/>
    <w:rsid w:val="00595E3B"/>
    <w:rsid w:val="005A7C39"/>
    <w:rsid w:val="005B7B05"/>
    <w:rsid w:val="005C1F65"/>
    <w:rsid w:val="005D4706"/>
    <w:rsid w:val="005E0F16"/>
    <w:rsid w:val="005F34B3"/>
    <w:rsid w:val="006004EB"/>
    <w:rsid w:val="006114EC"/>
    <w:rsid w:val="00617305"/>
    <w:rsid w:val="0063072B"/>
    <w:rsid w:val="00637CF0"/>
    <w:rsid w:val="0065699C"/>
    <w:rsid w:val="00656AD4"/>
    <w:rsid w:val="006649E1"/>
    <w:rsid w:val="00665035"/>
    <w:rsid w:val="00673606"/>
    <w:rsid w:val="006767AD"/>
    <w:rsid w:val="00687E54"/>
    <w:rsid w:val="00697B94"/>
    <w:rsid w:val="006B5A4E"/>
    <w:rsid w:val="006C0BAE"/>
    <w:rsid w:val="006F4A36"/>
    <w:rsid w:val="00710C56"/>
    <w:rsid w:val="007333FA"/>
    <w:rsid w:val="00733DB0"/>
    <w:rsid w:val="00736A3F"/>
    <w:rsid w:val="00747F17"/>
    <w:rsid w:val="00751731"/>
    <w:rsid w:val="00755191"/>
    <w:rsid w:val="00755D9F"/>
    <w:rsid w:val="007933EF"/>
    <w:rsid w:val="007A2298"/>
    <w:rsid w:val="007B6E82"/>
    <w:rsid w:val="0081167B"/>
    <w:rsid w:val="00845A02"/>
    <w:rsid w:val="008532E1"/>
    <w:rsid w:val="00855BC8"/>
    <w:rsid w:val="00872A6E"/>
    <w:rsid w:val="00874C14"/>
    <w:rsid w:val="00877B39"/>
    <w:rsid w:val="00887BA0"/>
    <w:rsid w:val="00896C0B"/>
    <w:rsid w:val="008A0086"/>
    <w:rsid w:val="008A0DE8"/>
    <w:rsid w:val="008C1276"/>
    <w:rsid w:val="008E2EB8"/>
    <w:rsid w:val="008F52A8"/>
    <w:rsid w:val="0091087D"/>
    <w:rsid w:val="0091453A"/>
    <w:rsid w:val="00922711"/>
    <w:rsid w:val="00927DE7"/>
    <w:rsid w:val="009320F6"/>
    <w:rsid w:val="00934768"/>
    <w:rsid w:val="00935927"/>
    <w:rsid w:val="00947774"/>
    <w:rsid w:val="00954644"/>
    <w:rsid w:val="00971D23"/>
    <w:rsid w:val="00973BB7"/>
    <w:rsid w:val="00983DAC"/>
    <w:rsid w:val="009941B9"/>
    <w:rsid w:val="009A6F62"/>
    <w:rsid w:val="009B665E"/>
    <w:rsid w:val="009C1933"/>
    <w:rsid w:val="009D65B9"/>
    <w:rsid w:val="009E0D15"/>
    <w:rsid w:val="009E4691"/>
    <w:rsid w:val="009E556A"/>
    <w:rsid w:val="009F4F7D"/>
    <w:rsid w:val="00A034FE"/>
    <w:rsid w:val="00A16E1B"/>
    <w:rsid w:val="00A30E33"/>
    <w:rsid w:val="00A331C3"/>
    <w:rsid w:val="00A3640B"/>
    <w:rsid w:val="00A3784A"/>
    <w:rsid w:val="00A777C3"/>
    <w:rsid w:val="00A80C51"/>
    <w:rsid w:val="00A95C68"/>
    <w:rsid w:val="00AB6624"/>
    <w:rsid w:val="00AC5E62"/>
    <w:rsid w:val="00AC681E"/>
    <w:rsid w:val="00AC7E47"/>
    <w:rsid w:val="00AF615B"/>
    <w:rsid w:val="00AF6724"/>
    <w:rsid w:val="00B0102F"/>
    <w:rsid w:val="00B10028"/>
    <w:rsid w:val="00B13758"/>
    <w:rsid w:val="00B3666C"/>
    <w:rsid w:val="00B436BA"/>
    <w:rsid w:val="00B4580B"/>
    <w:rsid w:val="00B514B9"/>
    <w:rsid w:val="00B53ABC"/>
    <w:rsid w:val="00B72063"/>
    <w:rsid w:val="00B75573"/>
    <w:rsid w:val="00B91E4A"/>
    <w:rsid w:val="00B970C7"/>
    <w:rsid w:val="00BA21E1"/>
    <w:rsid w:val="00BA2714"/>
    <w:rsid w:val="00BD3A69"/>
    <w:rsid w:val="00BF35CE"/>
    <w:rsid w:val="00BF511E"/>
    <w:rsid w:val="00C32E3A"/>
    <w:rsid w:val="00C37CEF"/>
    <w:rsid w:val="00C4112E"/>
    <w:rsid w:val="00C45FEF"/>
    <w:rsid w:val="00C5169B"/>
    <w:rsid w:val="00C54E45"/>
    <w:rsid w:val="00C60E1E"/>
    <w:rsid w:val="00C61E9B"/>
    <w:rsid w:val="00C710CA"/>
    <w:rsid w:val="00C832B3"/>
    <w:rsid w:val="00CA4CB3"/>
    <w:rsid w:val="00CC26AA"/>
    <w:rsid w:val="00CC45FF"/>
    <w:rsid w:val="00CC6262"/>
    <w:rsid w:val="00CD0E34"/>
    <w:rsid w:val="00CD5649"/>
    <w:rsid w:val="00CE39AA"/>
    <w:rsid w:val="00D036B2"/>
    <w:rsid w:val="00D11404"/>
    <w:rsid w:val="00D15929"/>
    <w:rsid w:val="00D30E16"/>
    <w:rsid w:val="00D34D5A"/>
    <w:rsid w:val="00D3728C"/>
    <w:rsid w:val="00D47A90"/>
    <w:rsid w:val="00D9570B"/>
    <w:rsid w:val="00DA283B"/>
    <w:rsid w:val="00DB0665"/>
    <w:rsid w:val="00DB1334"/>
    <w:rsid w:val="00DC63A9"/>
    <w:rsid w:val="00DD7811"/>
    <w:rsid w:val="00DE0C50"/>
    <w:rsid w:val="00DE0F72"/>
    <w:rsid w:val="00DE1BB2"/>
    <w:rsid w:val="00DE22D5"/>
    <w:rsid w:val="00DE3C49"/>
    <w:rsid w:val="00DF0D23"/>
    <w:rsid w:val="00DF4718"/>
    <w:rsid w:val="00E27993"/>
    <w:rsid w:val="00E40156"/>
    <w:rsid w:val="00E40D97"/>
    <w:rsid w:val="00E41B5A"/>
    <w:rsid w:val="00E42F5C"/>
    <w:rsid w:val="00E50863"/>
    <w:rsid w:val="00E55656"/>
    <w:rsid w:val="00E604D6"/>
    <w:rsid w:val="00E63787"/>
    <w:rsid w:val="00E64D16"/>
    <w:rsid w:val="00E661BC"/>
    <w:rsid w:val="00E673A5"/>
    <w:rsid w:val="00E709DB"/>
    <w:rsid w:val="00E83956"/>
    <w:rsid w:val="00E93FBE"/>
    <w:rsid w:val="00EA09C6"/>
    <w:rsid w:val="00ED1C8C"/>
    <w:rsid w:val="00ED54F0"/>
    <w:rsid w:val="00EE400B"/>
    <w:rsid w:val="00EE59E4"/>
    <w:rsid w:val="00EF0A9D"/>
    <w:rsid w:val="00EF555E"/>
    <w:rsid w:val="00EF74E4"/>
    <w:rsid w:val="00F14138"/>
    <w:rsid w:val="00F219D1"/>
    <w:rsid w:val="00F2325C"/>
    <w:rsid w:val="00F267E0"/>
    <w:rsid w:val="00F6139F"/>
    <w:rsid w:val="00FA208B"/>
    <w:rsid w:val="00FC051B"/>
    <w:rsid w:val="00FC6A64"/>
    <w:rsid w:val="00FD263D"/>
    <w:rsid w:val="00FD52CE"/>
    <w:rsid w:val="00FE2AB3"/>
    <w:rsid w:val="00FF157E"/>
    <w:rsid w:val="00FF645B"/>
    <w:rsid w:val="10AC7018"/>
    <w:rsid w:val="11886FDF"/>
    <w:rsid w:val="154D40BC"/>
    <w:rsid w:val="15AF22D4"/>
    <w:rsid w:val="166421A8"/>
    <w:rsid w:val="198C521E"/>
    <w:rsid w:val="25DE30AE"/>
    <w:rsid w:val="2666D44F"/>
    <w:rsid w:val="2D2D9396"/>
    <w:rsid w:val="2E2A18C1"/>
    <w:rsid w:val="2EACF5D3"/>
    <w:rsid w:val="3CE9A03D"/>
    <w:rsid w:val="45211DA3"/>
    <w:rsid w:val="52AE444A"/>
    <w:rsid w:val="5DC8DDBC"/>
    <w:rsid w:val="5F323F46"/>
    <w:rsid w:val="61CDC4BE"/>
    <w:rsid w:val="679F07FD"/>
    <w:rsid w:val="7E7A98EF"/>
    <w:rsid w:val="7F922962"/>
  </w:rsids>
  <m:mathPr>
    <m:mathFont m:val="Cambria Math"/>
    <m:brkBin m:val="before"/>
    <m:brkBinSub m:val="--"/>
    <m:smallFrac m:val="0"/>
    <m:dispDef m:val="0"/>
    <m:lMargin m:val="0"/>
    <m:rMargin m:val="0"/>
    <m:defJc m:val="centerGroup"/>
    <m:wrapRight/>
    <m:intLim m:val="subSup"/>
    <m:naryLim m:val="subSup"/>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2DA535"/>
  <w15:docId w15:val="{EFAE9DBE-2859-45B3-A6D4-CF96D774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835"/>
    </w:pPr>
    <w:rPr>
      <w:rFonts w:ascii="Arial" w:hAnsi="Arial"/>
      <w:spacing w:val="-5"/>
    </w:rPr>
  </w:style>
  <w:style w:type="paragraph" w:styleId="Heading1">
    <w:name w:val="heading 1"/>
    <w:basedOn w:val="Normal"/>
    <w:next w:val="Normal"/>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Normal"/>
    <w:qFormat/>
    <w:pPr>
      <w:keepNext/>
      <w:keepLines/>
      <w:spacing w:line="200" w:lineRule="atLeast"/>
      <w:outlineLvl w:val="1"/>
    </w:pPr>
    <w:rPr>
      <w:rFonts w:ascii="Arial Black" w:hAnsi="Arial Black"/>
      <w:spacing w:val="-10"/>
      <w:kern w:val="28"/>
    </w:rPr>
  </w:style>
  <w:style w:type="paragraph" w:styleId="Heading3">
    <w:name w:val="heading 3"/>
    <w:basedOn w:val="Normal"/>
    <w:next w:val="Normal"/>
    <w:qFormat/>
    <w:pPr>
      <w:keepNext/>
      <w:keepLines/>
      <w:spacing w:line="180" w:lineRule="atLeast"/>
      <w:ind w:left="1195"/>
      <w:outlineLvl w:val="2"/>
    </w:pPr>
    <w:rPr>
      <w:rFonts w:ascii="Arial Black" w:hAnsi="Arial Black"/>
      <w:kern w:val="28"/>
    </w:rPr>
  </w:style>
  <w:style w:type="paragraph" w:styleId="Heading4">
    <w:name w:val="heading 4"/>
    <w:basedOn w:val="Normal"/>
    <w:next w:val="Normal"/>
    <w:qFormat/>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Normal"/>
    <w:qFormat/>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1555"/>
    </w:pPr>
  </w:style>
  <w:style w:type="paragraph" w:customStyle="1" w:styleId="06Disclosure">
    <w:name w:val="06 Disclosure"/>
    <w:basedOn w:val="Footer"/>
    <w:qFormat/>
    <w:rsid w:val="006769F6"/>
    <w:pPr>
      <w:spacing w:line="190" w:lineRule="exact"/>
      <w:ind w:left="0" w:right="1339"/>
      <w:jc w:val="both"/>
    </w:pPr>
    <w:rPr>
      <w:rFonts w:ascii="Arial Narrow" w:hAnsi="Arial Narrow"/>
      <w:sz w:val="16"/>
    </w:rPr>
  </w:style>
  <w:style w:type="paragraph" w:styleId="Header">
    <w:name w:val="header"/>
    <w:basedOn w:val="Normal"/>
    <w:link w:val="HeaderChar"/>
    <w:uiPriority w:val="99"/>
    <w:unhideWhenUsed/>
    <w:rsid w:val="000C1D09"/>
    <w:pPr>
      <w:tabs>
        <w:tab w:val="center" w:pos="4320"/>
        <w:tab w:val="right" w:pos="8640"/>
      </w:tabs>
    </w:pPr>
  </w:style>
  <w:style w:type="character" w:customStyle="1" w:styleId="HeaderChar">
    <w:name w:val="Header Char"/>
    <w:link w:val="Header"/>
    <w:uiPriority w:val="99"/>
    <w:rsid w:val="000C1D09"/>
    <w:rPr>
      <w:rFonts w:ascii="Arial" w:hAnsi="Arial"/>
      <w:spacing w:val="-5"/>
    </w:rPr>
  </w:style>
  <w:style w:type="character" w:customStyle="1" w:styleId="Slogan">
    <w:name w:val="Slogan"/>
    <w:rPr>
      <w:rFonts w:ascii="Arial Black" w:hAnsi="Arial Black" w:hint="default"/>
      <w:color w:val="FFFFFF"/>
      <w:spacing w:val="-10"/>
      <w:position w:val="0"/>
      <w:sz w:val="19"/>
      <w:bdr w:val="none" w:sz="0" w:space="0" w:color="auto" w:frame="1"/>
      <w:shd w:val="solid" w:color="auto" w:fill="auto"/>
    </w:rPr>
  </w:style>
  <w:style w:type="table" w:styleId="TableGrid">
    <w:name w:val="Table Grid"/>
    <w:basedOn w:val="TableNormal"/>
    <w:rsid w:val="007467F9"/>
    <w:pPr>
      <w:ind w:lef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2446F4"/>
    <w:pPr>
      <w:tabs>
        <w:tab w:val="center" w:pos="4320"/>
        <w:tab w:val="right" w:pos="8640"/>
      </w:tabs>
    </w:pPr>
  </w:style>
  <w:style w:type="character" w:customStyle="1" w:styleId="05telfaxemailbold">
    <w:name w:val="05 tel/fax/email bold"/>
    <w:rsid w:val="00C25C1D"/>
    <w:rPr>
      <w:rFonts w:ascii="Arial Narrow" w:hAnsi="Arial Narrow"/>
      <w:b/>
      <w:spacing w:val="0"/>
      <w:w w:val="100"/>
      <w:sz w:val="16"/>
    </w:rPr>
  </w:style>
  <w:style w:type="character" w:customStyle="1" w:styleId="FooterChar">
    <w:name w:val="Footer Char"/>
    <w:link w:val="Footer"/>
    <w:uiPriority w:val="99"/>
    <w:semiHidden/>
    <w:rsid w:val="002446F4"/>
    <w:rPr>
      <w:rFonts w:ascii="Arial" w:hAnsi="Arial"/>
      <w:spacing w:val="-5"/>
    </w:rPr>
  </w:style>
  <w:style w:type="paragraph" w:customStyle="1" w:styleId="03Subsidiary">
    <w:name w:val="03 Subsidiary"/>
    <w:basedOn w:val="Normal"/>
    <w:qFormat/>
    <w:rsid w:val="00F47EDB"/>
    <w:pPr>
      <w:framePr w:hSpace="187" w:wrap="around" w:vAnchor="text" w:hAnchor="page" w:x="7971" w:y="301"/>
      <w:spacing w:line="200" w:lineRule="exact"/>
      <w:ind w:left="0"/>
    </w:pPr>
    <w:rPr>
      <w:rFonts w:ascii="Arial Narrow" w:eastAsia="Cambria" w:hAnsi="Arial Narrow"/>
      <w:b/>
      <w:color w:val="004FA6"/>
      <w:spacing w:val="0"/>
      <w:sz w:val="16"/>
      <w:szCs w:val="24"/>
    </w:rPr>
  </w:style>
  <w:style w:type="paragraph" w:customStyle="1" w:styleId="04Address">
    <w:name w:val="04 Address"/>
    <w:basedOn w:val="Normal"/>
    <w:qFormat/>
    <w:rsid w:val="00A74701"/>
    <w:pPr>
      <w:framePr w:hSpace="187" w:wrap="around" w:vAnchor="text" w:hAnchor="page" w:x="7971" w:y="301"/>
      <w:spacing w:after="30" w:line="200" w:lineRule="exact"/>
      <w:ind w:left="0"/>
    </w:pPr>
    <w:rPr>
      <w:rFonts w:ascii="Arial Narrow" w:eastAsia="Cambria" w:hAnsi="Arial Narrow"/>
      <w:spacing w:val="0"/>
      <w:sz w:val="16"/>
      <w:szCs w:val="24"/>
    </w:rPr>
  </w:style>
  <w:style w:type="paragraph" w:customStyle="1" w:styleId="05telfaxemailurl">
    <w:name w:val="05 tel/fax/email/url"/>
    <w:basedOn w:val="Normal"/>
    <w:qFormat/>
    <w:rsid w:val="00786708"/>
    <w:pPr>
      <w:framePr w:hSpace="187" w:wrap="around" w:vAnchor="text" w:hAnchor="page" w:x="7971" w:y="301"/>
      <w:spacing w:line="200" w:lineRule="exact"/>
      <w:ind w:left="0"/>
    </w:pPr>
    <w:rPr>
      <w:rFonts w:ascii="Arial Narrow" w:eastAsia="Cambria" w:hAnsi="Arial Narrow"/>
      <w:spacing w:val="6"/>
      <w:sz w:val="16"/>
      <w:szCs w:val="24"/>
    </w:rPr>
  </w:style>
  <w:style w:type="character" w:styleId="Hyperlink">
    <w:name w:val="Hyperlink"/>
    <w:basedOn w:val="DefaultParagraphFont"/>
    <w:uiPriority w:val="99"/>
    <w:unhideWhenUsed/>
    <w:rsid w:val="00A16E1B"/>
    <w:rPr>
      <w:color w:val="467886"/>
      <w:u w:val="singl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emiHidden/>
    <w:rPr>
      <w:rFonts w:ascii="Arial" w:hAnsi="Arial"/>
      <w:spacing w:val="-5"/>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71"/>
    <w:rsid w:val="00922711"/>
    <w:rPr>
      <w:rFonts w:ascii="Arial" w:hAnsi="Arial"/>
      <w:spacing w:val="-5"/>
    </w:rPr>
  </w:style>
  <w:style w:type="paragraph" w:styleId="NormalWeb">
    <w:name w:val="Normal (Web)"/>
    <w:basedOn w:val="Normal"/>
    <w:uiPriority w:val="99"/>
    <w:semiHidden/>
    <w:unhideWhenUsed/>
    <w:rsid w:val="00585EC3"/>
    <w:rPr>
      <w:rFonts w:ascii="Times New Roman" w:hAnsi="Times New Roman"/>
      <w:sz w:val="24"/>
      <w:szCs w:val="24"/>
    </w:rPr>
  </w:style>
  <w:style w:type="character" w:styleId="UnresolvedMention">
    <w:name w:val="Unresolved Mention"/>
    <w:basedOn w:val="DefaultParagraphFont"/>
    <w:uiPriority w:val="99"/>
    <w:semiHidden/>
    <w:unhideWhenUsed/>
    <w:rsid w:val="00BF35CE"/>
    <w:rPr>
      <w:color w:val="605E5C"/>
      <w:shd w:val="clear" w:color="auto" w:fill="E1DFDD"/>
    </w:rPr>
  </w:style>
  <w:style w:type="paragraph" w:styleId="FootnoteText">
    <w:name w:val="footnote text"/>
    <w:basedOn w:val="Normal"/>
    <w:link w:val="FootnoteTextChar"/>
    <w:uiPriority w:val="99"/>
    <w:semiHidden/>
    <w:unhideWhenUsed/>
    <w:rsid w:val="00BF35CE"/>
    <w:pPr>
      <w:ind w:left="0"/>
    </w:pPr>
    <w:rPr>
      <w:rFonts w:asciiTheme="minorHAnsi" w:eastAsiaTheme="minorHAnsi" w:hAnsiTheme="minorHAnsi" w:cstheme="minorBidi"/>
      <w:spacing w:val="0"/>
    </w:rPr>
  </w:style>
  <w:style w:type="character" w:customStyle="1" w:styleId="FootnoteTextChar">
    <w:name w:val="Footnote Text Char"/>
    <w:basedOn w:val="DefaultParagraphFont"/>
    <w:link w:val="FootnoteText"/>
    <w:uiPriority w:val="99"/>
    <w:semiHidden/>
    <w:rsid w:val="00BF35CE"/>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BF35CE"/>
    <w:rPr>
      <w:vertAlign w:val="superscript"/>
    </w:rPr>
  </w:style>
  <w:style w:type="paragraph" w:styleId="CommentSubject">
    <w:name w:val="annotation subject"/>
    <w:basedOn w:val="CommentText"/>
    <w:next w:val="CommentText"/>
    <w:link w:val="CommentSubjectChar"/>
    <w:uiPriority w:val="99"/>
    <w:semiHidden/>
    <w:unhideWhenUsed/>
    <w:rsid w:val="006C0BAE"/>
    <w:rPr>
      <w:b/>
      <w:bCs/>
    </w:rPr>
  </w:style>
  <w:style w:type="character" w:customStyle="1" w:styleId="CommentSubjectChar">
    <w:name w:val="Comment Subject Char"/>
    <w:basedOn w:val="CommentTextChar"/>
    <w:link w:val="CommentSubject"/>
    <w:uiPriority w:val="99"/>
    <w:semiHidden/>
    <w:rsid w:val="006C0BAE"/>
    <w:rPr>
      <w:rFonts w:ascii="Arial" w:hAnsi="Arial"/>
      <w:b/>
      <w:bCs/>
      <w:spacing w:val="-5"/>
    </w:rPr>
  </w:style>
  <w:style w:type="paragraph" w:styleId="ListParagraph">
    <w:name w:val="List Paragraph"/>
    <w:basedOn w:val="Normal"/>
    <w:uiPriority w:val="34"/>
    <w:qFormat/>
    <w:rsid w:val="198C5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676482">
      <w:bodyDiv w:val="1"/>
      <w:marLeft w:val="0"/>
      <w:marRight w:val="0"/>
      <w:marTop w:val="0"/>
      <w:marBottom w:val="0"/>
      <w:divBdr>
        <w:top w:val="none" w:sz="0" w:space="0" w:color="auto"/>
        <w:left w:val="none" w:sz="0" w:space="0" w:color="auto"/>
        <w:bottom w:val="none" w:sz="0" w:space="0" w:color="auto"/>
        <w:right w:val="none" w:sz="0" w:space="0" w:color="auto"/>
      </w:divBdr>
    </w:div>
    <w:div w:id="195050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generalatlantic.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ranklintempleton.com/" TargetMode="External"/><Relationship Id="rId17" Type="http://schemas.openxmlformats.org/officeDocument/2006/relationships/hyperlink" Target="mailto:media@digitalbridg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igitalbridg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ienne.Herrera@franklintempleton.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edia@cip.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benewswire.com/Tracker?data=bwnL1ao_twvjp90V8WIRJ7xcmbuXNxNO32RVe0kdK6f0EtI-dMe8JlsrzKwoXkUoqnz0o-mTG3pkzg37p6xX3Q=="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outlook.gihub.or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VI_colors">
  <a:themeElements>
    <a:clrScheme name="FT Color Palette">
      <a:dk1>
        <a:srgbClr val="000000"/>
      </a:dk1>
      <a:lt1>
        <a:srgbClr val="FFFFFF"/>
      </a:lt1>
      <a:dk2>
        <a:srgbClr val="E1F7F7"/>
      </a:dk2>
      <a:lt2>
        <a:srgbClr val="FFFFFF"/>
      </a:lt2>
      <a:accent1>
        <a:srgbClr val="3769FF"/>
      </a:accent1>
      <a:accent2>
        <a:srgbClr val="00BFB3"/>
      </a:accent2>
      <a:accent3>
        <a:srgbClr val="FF6035"/>
      </a:accent3>
      <a:accent4>
        <a:srgbClr val="6730E3"/>
      </a:accent4>
      <a:accent5>
        <a:srgbClr val="BFBFBF"/>
      </a:accent5>
      <a:accent6>
        <a:srgbClr val="C042EA"/>
      </a:accent6>
      <a:hlink>
        <a:srgbClr val="3769FF"/>
      </a:hlink>
      <a:folHlink>
        <a:srgbClr val="21212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3769FF"/>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sz="4800" dirty="0" smtClean="0">
            <a:solidFill>
              <a:schemeClr val="accent2"/>
            </a:solidFill>
          </a:defRPr>
        </a:defPPr>
      </a:lstStyle>
    </a:txDef>
  </a:objectDefaults>
  <a:extraClrSchemeLst/>
  <a:custClrLst>
    <a:custClr name="FT SKY BLUE">
      <a:srgbClr val="3769FF"/>
    </a:custClr>
    <a:custClr name="FT TEAL">
      <a:srgbClr val="00BFB3"/>
    </a:custClr>
    <a:custClr name="FT ORANGE3">
      <a:srgbClr val="FF6035"/>
    </a:custClr>
    <a:custClr name="FT PURPLE">
      <a:srgbClr val="6730E3"/>
    </a:custClr>
    <a:custClr name="FT GRAY2">
      <a:srgbClr val="BFBFBF"/>
    </a:custClr>
    <a:custClr name="FT FUCHSIA">
      <a:srgbClr val="C042EA"/>
    </a:custClr>
    <a:custClr name="BLANK">
      <a:srgbClr val="FFFFFF"/>
    </a:custClr>
    <a:custClr name="BLANK">
      <a:srgbClr val="FFFFFF"/>
    </a:custClr>
    <a:custClr name="BLANK">
      <a:srgbClr val="FFFFFF"/>
    </a:custClr>
    <a:custClr name="BLANK">
      <a:srgbClr val="FFFFFF"/>
    </a:custClr>
    <a:custClr name="FT SKY BLUE">
      <a:srgbClr val="3769FF"/>
    </a:custClr>
    <a:custClr name="FT TEAL2">
      <a:srgbClr val="72DBD5"/>
    </a:custClr>
    <a:custClr name="FT SKY BLUE2">
      <a:srgbClr val="91B9FF"/>
    </a:custClr>
    <a:custClr name="BENCHMARK GRAY">
      <a:srgbClr val="D9D9D9"/>
    </a:custClr>
    <a:custClr name="FT GRAY2">
      <a:srgbClr val="BFBFBF"/>
    </a:custClr>
    <a:custClr name="FT GRAY3">
      <a:srgbClr val="8C8C8C"/>
    </a:custClr>
    <a:custClr name="BLANK">
      <a:srgbClr val="FFFFFF"/>
    </a:custClr>
    <a:custClr name="BLANK">
      <a:srgbClr val="FFFFFF"/>
    </a:custClr>
    <a:custClr name="BLANK">
      <a:srgbClr val="FFFFFF"/>
    </a:custClr>
    <a:custClr name="BLANK">
      <a:srgbClr val="FFFFFF"/>
    </a:custClr>
    <a:custClr name="FT SKY BLUE">
      <a:srgbClr val="3769FF"/>
    </a:custClr>
    <a:custClr name="FT PURPLE">
      <a:srgbClr val="6730E3"/>
    </a:custClr>
    <a:custClr name="FT TEAL3">
      <a:srgbClr val="00A096"/>
    </a:custClr>
    <a:custClr name="FT TEAL1">
      <a:srgbClr val="E1F7F7"/>
    </a:custClr>
    <a:custClr name="FT GRAY4">
      <a:srgbClr val="595959"/>
    </a:custClr>
    <a:custClr name="FT GRAY1">
      <a:srgbClr val="E6E6E6"/>
    </a:custClr>
    <a:custClr name="FT SKY BLUE1">
      <a:srgbClr val="DDEAFF"/>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VI_colors" id="{96703A4E-9E94-454C-85AB-711DBED7C32D}" vid="{600992E0-0419-440A-82F8-9311202FD1A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D348EB2A44B74CA2C6316FDB252BBD" ma:contentTypeVersion="4" ma:contentTypeDescription="Create a new document." ma:contentTypeScope="" ma:versionID="c88e37e9597e3e00fb2f2e9acf8ccab3">
  <xsd:schema xmlns:xsd="http://www.w3.org/2001/XMLSchema" xmlns:xs="http://www.w3.org/2001/XMLSchema" xmlns:p="http://schemas.microsoft.com/office/2006/metadata/properties" xmlns:ns2="7bbcbe05-ac7e-4cda-8466-9bac4a7966ff" targetNamespace="http://schemas.microsoft.com/office/2006/metadata/properties" ma:root="true" ma:fieldsID="104ed8303ff7820595be25690290b156" ns2:_="">
    <xsd:import namespace="7bbcbe05-ac7e-4cda-8466-9bac4a7966f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be05-ac7e-4cda-8466-9bac4a796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EA03D-3876-4662-91B2-6391F82C1F86}">
  <ds:schemaRefs>
    <ds:schemaRef ds:uri="http://schemas.openxmlformats.org/officeDocument/2006/bibliography"/>
  </ds:schemaRefs>
</ds:datastoreItem>
</file>

<file path=customXml/itemProps2.xml><?xml version="1.0" encoding="utf-8"?>
<ds:datastoreItem xmlns:ds="http://schemas.openxmlformats.org/officeDocument/2006/customXml" ds:itemID="{36FB8C16-3D55-4D37-ABA7-B05DA48AE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be05-ac7e-4cda-8466-9bac4a796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848C3-D86D-4A3D-B221-2CEEBC8A8347}">
  <ds:schemaRefs>
    <ds:schemaRef ds:uri="http://schemas.microsoft.com/sharepoint/v3/contenttype/forms"/>
  </ds:schemaRefs>
</ds:datastoreItem>
</file>

<file path=customXml/itemProps4.xml><?xml version="1.0" encoding="utf-8"?>
<ds:datastoreItem xmlns:ds="http://schemas.openxmlformats.org/officeDocument/2006/customXml" ds:itemID="{FDCEE55E-6EF5-4B10-BC74-51B4438AF40F}">
  <ds:schemaRef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7bbcbe05-ac7e-4cda-8466-9bac4a7966ff"/>
    <ds:schemaRef ds:uri="http://purl.org/dc/dcmityp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1317</Words>
  <Characters>9036</Characters>
  <Application>Microsoft Office Word</Application>
  <DocSecurity>4</DocSecurity>
  <Lines>75</Lines>
  <Paragraphs>20</Paragraphs>
  <ScaleCrop>false</ScaleCrop>
  <Company>Microsoft Corp.</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Fax</dc:title>
  <dc:subject/>
  <dc:creator>Microsoft Office User</dc:creator>
  <cp:keywords/>
  <cp:lastModifiedBy>Radosevich, Rebecca</cp:lastModifiedBy>
  <cp:revision>2</cp:revision>
  <cp:lastPrinted>2025-09-16T13:55:00Z</cp:lastPrinted>
  <dcterms:created xsi:type="dcterms:W3CDTF">2025-09-16T20:21:00Z</dcterms:created>
  <dcterms:modified xsi:type="dcterms:W3CDTF">2025-09-16T20:21:00Z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0x010100FFD348EB2A44B74CA2C6316FDB252BBD</vt:lpwstr>
  </property>
</Properties>
</file>